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仿宋" w:hAnsi="仿宋" w:eastAsia="仿宋"/>
          <w:color w:val="auto"/>
          <w:sz w:val="44"/>
          <w:szCs w:val="44"/>
          <w:highlight w:val="none"/>
          <w:lang w:val="en-US" w:eastAsia="zh-CN"/>
        </w:rPr>
      </w:pPr>
      <w:r>
        <w:rPr>
          <w:rFonts w:hint="eastAsia" w:ascii="仿宋" w:hAnsi="仿宋" w:eastAsia="仿宋"/>
          <w:color w:val="auto"/>
          <w:sz w:val="32"/>
          <w:szCs w:val="32"/>
          <w:highlight w:val="none"/>
          <w:lang w:val="en-US" w:eastAsia="zh-CN"/>
        </w:rPr>
        <w:t>项目</w:t>
      </w:r>
      <w:r>
        <w:rPr>
          <w:rFonts w:hint="eastAsia" w:ascii="仿宋" w:hAnsi="仿宋" w:eastAsia="仿宋"/>
          <w:color w:val="auto"/>
          <w:sz w:val="32"/>
          <w:szCs w:val="32"/>
          <w:highlight w:val="none"/>
        </w:rPr>
        <w:t>编号：</w:t>
      </w:r>
      <w:r>
        <w:rPr>
          <w:rFonts w:hint="eastAsia" w:ascii="仿宋" w:hAnsi="仿宋" w:eastAsia="仿宋"/>
          <w:color w:val="auto"/>
          <w:sz w:val="32"/>
          <w:szCs w:val="32"/>
          <w:highlight w:val="none"/>
          <w:lang w:val="en-US" w:eastAsia="zh-CN"/>
        </w:rPr>
        <w:t>Pxxrmyy20240305H</w:t>
      </w:r>
    </w:p>
    <w:p>
      <w:pPr>
        <w:spacing w:line="360" w:lineRule="auto"/>
        <w:jc w:val="center"/>
        <w:rPr>
          <w:rFonts w:hint="eastAsia" w:ascii="仿宋" w:hAnsi="仿宋" w:eastAsia="仿宋"/>
          <w:color w:val="auto"/>
          <w:sz w:val="44"/>
          <w:szCs w:val="44"/>
          <w:highlight w:val="none"/>
        </w:rPr>
      </w:pPr>
    </w:p>
    <w:p>
      <w:pPr>
        <w:spacing w:line="360" w:lineRule="auto"/>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蓬溪县人民医院</w:t>
      </w:r>
    </w:p>
    <w:p>
      <w:pPr>
        <w:spacing w:line="360" w:lineRule="auto"/>
        <w:jc w:val="center"/>
        <w:rPr>
          <w:rFonts w:ascii="仿宋" w:hAnsi="仿宋" w:eastAsia="仿宋"/>
          <w:color w:val="auto"/>
          <w:sz w:val="44"/>
          <w:szCs w:val="44"/>
          <w:highlight w:val="none"/>
        </w:rPr>
      </w:pPr>
      <w:r>
        <w:rPr>
          <w:rFonts w:hint="eastAsia" w:ascii="仿宋" w:hAnsi="仿宋" w:eastAsia="仿宋"/>
          <w:color w:val="auto"/>
          <w:sz w:val="44"/>
          <w:szCs w:val="44"/>
          <w:highlight w:val="none"/>
          <w:lang w:val="en-US" w:eastAsia="zh-CN"/>
        </w:rPr>
        <w:t>非挂网</w:t>
      </w:r>
      <w:r>
        <w:rPr>
          <w:rFonts w:hint="eastAsia" w:ascii="仿宋" w:hAnsi="仿宋" w:eastAsia="仿宋"/>
          <w:color w:val="auto"/>
          <w:sz w:val="44"/>
          <w:szCs w:val="44"/>
          <w:highlight w:val="none"/>
        </w:rPr>
        <w:t>医用耗材体外诊断试剂配送服务采购项目</w:t>
      </w:r>
    </w:p>
    <w:p>
      <w:pPr>
        <w:spacing w:line="360" w:lineRule="auto"/>
        <w:jc w:val="center"/>
        <w:rPr>
          <w:rFonts w:ascii="仿宋" w:hAnsi="仿宋" w:eastAsia="仿宋"/>
          <w:color w:val="auto"/>
          <w:sz w:val="44"/>
          <w:szCs w:val="44"/>
          <w:highlight w:val="none"/>
        </w:rPr>
      </w:pPr>
    </w:p>
    <w:p>
      <w:pPr>
        <w:spacing w:line="360" w:lineRule="auto"/>
        <w:jc w:val="center"/>
        <w:rPr>
          <w:rFonts w:ascii="仿宋" w:hAnsi="仿宋" w:eastAsia="仿宋"/>
          <w:color w:val="auto"/>
          <w:sz w:val="72"/>
          <w:szCs w:val="72"/>
          <w:highlight w:val="none"/>
        </w:rPr>
      </w:pPr>
      <w:r>
        <w:rPr>
          <w:rFonts w:hint="eastAsia" w:ascii="仿宋" w:hAnsi="仿宋" w:eastAsia="仿宋"/>
          <w:color w:val="auto"/>
          <w:sz w:val="72"/>
          <w:szCs w:val="72"/>
          <w:highlight w:val="none"/>
        </w:rPr>
        <w:t>招</w:t>
      </w:r>
    </w:p>
    <w:p>
      <w:pPr>
        <w:spacing w:line="360" w:lineRule="auto"/>
        <w:jc w:val="center"/>
        <w:rPr>
          <w:rFonts w:ascii="仿宋" w:hAnsi="仿宋" w:eastAsia="仿宋"/>
          <w:color w:val="auto"/>
          <w:sz w:val="72"/>
          <w:szCs w:val="72"/>
          <w:highlight w:val="none"/>
        </w:rPr>
      </w:pPr>
      <w:r>
        <w:rPr>
          <w:rFonts w:hint="eastAsia" w:ascii="仿宋" w:hAnsi="仿宋" w:eastAsia="仿宋"/>
          <w:color w:val="auto"/>
          <w:sz w:val="72"/>
          <w:szCs w:val="72"/>
          <w:highlight w:val="none"/>
        </w:rPr>
        <w:t>标</w:t>
      </w:r>
    </w:p>
    <w:p>
      <w:pPr>
        <w:spacing w:line="360" w:lineRule="auto"/>
        <w:jc w:val="center"/>
        <w:rPr>
          <w:rFonts w:ascii="仿宋" w:hAnsi="仿宋" w:eastAsia="仿宋"/>
          <w:color w:val="auto"/>
          <w:sz w:val="72"/>
          <w:szCs w:val="72"/>
          <w:highlight w:val="none"/>
        </w:rPr>
      </w:pPr>
      <w:r>
        <w:rPr>
          <w:rFonts w:hint="eastAsia" w:ascii="仿宋" w:hAnsi="仿宋" w:eastAsia="仿宋"/>
          <w:color w:val="auto"/>
          <w:sz w:val="72"/>
          <w:szCs w:val="72"/>
          <w:highlight w:val="none"/>
        </w:rPr>
        <w:t>文</w:t>
      </w:r>
    </w:p>
    <w:p>
      <w:pPr>
        <w:tabs>
          <w:tab w:val="left" w:pos="3960"/>
        </w:tabs>
        <w:spacing w:line="360" w:lineRule="auto"/>
        <w:jc w:val="center"/>
        <w:rPr>
          <w:rFonts w:ascii="仿宋" w:hAnsi="仿宋" w:eastAsia="仿宋"/>
          <w:color w:val="auto"/>
          <w:sz w:val="72"/>
          <w:szCs w:val="72"/>
          <w:highlight w:val="none"/>
        </w:rPr>
      </w:pPr>
      <w:r>
        <w:rPr>
          <w:rFonts w:hint="eastAsia" w:ascii="仿宋" w:hAnsi="仿宋" w:eastAsia="仿宋"/>
          <w:color w:val="auto"/>
          <w:sz w:val="72"/>
          <w:szCs w:val="72"/>
          <w:highlight w:val="none"/>
        </w:rPr>
        <w:t>件</w:t>
      </w:r>
    </w:p>
    <w:p>
      <w:pPr>
        <w:spacing w:line="360" w:lineRule="auto"/>
        <w:jc w:val="center"/>
        <w:rPr>
          <w:rFonts w:hint="eastAsia" w:ascii="仿宋" w:hAnsi="仿宋" w:eastAsia="仿宋"/>
          <w:color w:val="auto"/>
          <w:sz w:val="32"/>
          <w:szCs w:val="32"/>
          <w:highlight w:val="none"/>
        </w:rPr>
      </w:pPr>
    </w:p>
    <w:p>
      <w:pPr>
        <w:spacing w:line="360" w:lineRule="auto"/>
        <w:jc w:val="center"/>
        <w:rPr>
          <w:rFonts w:hint="eastAsia" w:ascii="仿宋" w:hAnsi="仿宋" w:eastAsia="仿宋"/>
          <w:color w:val="auto"/>
          <w:sz w:val="32"/>
          <w:szCs w:val="32"/>
          <w:highlight w:val="none"/>
        </w:rPr>
      </w:pPr>
    </w:p>
    <w:p>
      <w:pPr>
        <w:spacing w:line="360" w:lineRule="auto"/>
        <w:jc w:val="center"/>
        <w:rPr>
          <w:rFonts w:hint="eastAsia" w:ascii="仿宋" w:hAnsi="仿宋" w:eastAsia="仿宋"/>
          <w:color w:val="auto"/>
          <w:sz w:val="32"/>
          <w:szCs w:val="32"/>
          <w:highlight w:val="none"/>
        </w:rPr>
      </w:pPr>
    </w:p>
    <w:p>
      <w:pPr>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蓬溪县人民医院编制</w:t>
      </w:r>
    </w:p>
    <w:p>
      <w:pPr>
        <w:spacing w:line="360" w:lineRule="auto"/>
        <w:jc w:val="center"/>
        <w:rPr>
          <w:rFonts w:ascii="仿宋" w:hAnsi="仿宋" w:eastAsia="仿宋"/>
          <w:color w:val="auto"/>
          <w:sz w:val="32"/>
          <w:highlight w:val="none"/>
        </w:rPr>
        <w:sectPr>
          <w:headerReference r:id="rId3" w:type="default"/>
          <w:footerReference r:id="rId4" w:type="default"/>
          <w:footerReference r:id="rId5" w:type="even"/>
          <w:pgSz w:w="11907" w:h="16840"/>
          <w:pgMar w:top="1418" w:right="1514" w:bottom="1418" w:left="1985" w:header="851" w:footer="992" w:gutter="0"/>
          <w:pgNumType w:start="1"/>
          <w:cols w:space="720" w:num="1"/>
          <w:docGrid w:linePitch="312" w:charSpace="0"/>
        </w:sectPr>
      </w:pP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w:t>
      </w:r>
      <w:r>
        <w:rPr>
          <w:rFonts w:ascii="仿宋" w:hAnsi="仿宋" w:eastAsia="仿宋"/>
          <w:color w:val="auto"/>
          <w:sz w:val="32"/>
          <w:szCs w:val="32"/>
          <w:highlight w:val="none"/>
        </w:rPr>
        <w:t>3</w:t>
      </w:r>
      <w:r>
        <w:rPr>
          <w:rFonts w:hint="eastAsia" w:ascii="仿宋" w:hAnsi="仿宋" w:eastAsia="仿宋"/>
          <w:color w:val="auto"/>
          <w:sz w:val="32"/>
          <w:szCs w:val="32"/>
          <w:highlight w:val="none"/>
        </w:rPr>
        <w:t>月</w:t>
      </w:r>
    </w:p>
    <w:p>
      <w:pPr>
        <w:pStyle w:val="3"/>
        <w:spacing w:line="240" w:lineRule="atLeast"/>
        <w:jc w:val="center"/>
        <w:rPr>
          <w:rFonts w:hint="eastAsia" w:ascii="仿宋" w:hAnsi="仿宋" w:eastAsia="仿宋"/>
          <w:bCs w:val="0"/>
          <w:color w:val="auto"/>
          <w:sz w:val="36"/>
          <w:highlight w:val="none"/>
          <w:lang w:val="en-US" w:eastAsia="zh-CN"/>
        </w:rPr>
      </w:pPr>
      <w:bookmarkStart w:id="0" w:name="_Hlt101843627"/>
      <w:bookmarkEnd w:id="0"/>
      <w:bookmarkStart w:id="1" w:name="_Hlt101233737"/>
      <w:bookmarkEnd w:id="1"/>
      <w:bookmarkStart w:id="2" w:name="_Toc217446030"/>
      <w:bookmarkStart w:id="3" w:name="_Toc183682338"/>
      <w:bookmarkStart w:id="4" w:name="_Toc375898983"/>
      <w:r>
        <w:rPr>
          <w:rFonts w:hint="eastAsia" w:ascii="仿宋" w:hAnsi="仿宋" w:eastAsia="仿宋"/>
          <w:bCs w:val="0"/>
          <w:color w:val="auto"/>
          <w:sz w:val="36"/>
          <w:highlight w:val="none"/>
        </w:rPr>
        <w:t>第一章  邀请</w:t>
      </w:r>
      <w:bookmarkEnd w:id="2"/>
      <w:bookmarkEnd w:id="3"/>
      <w:bookmarkEnd w:id="4"/>
      <w:r>
        <w:rPr>
          <w:rFonts w:hint="eastAsia" w:ascii="仿宋" w:hAnsi="仿宋" w:eastAsia="仿宋"/>
          <w:bCs w:val="0"/>
          <w:color w:val="auto"/>
          <w:sz w:val="36"/>
          <w:highlight w:val="none"/>
          <w:lang w:val="en-US" w:eastAsia="zh-CN"/>
        </w:rPr>
        <w:t>函</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各位潜在供应商：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color w:val="auto"/>
          <w:sz w:val="28"/>
          <w:szCs w:val="28"/>
          <w:highlight w:val="none"/>
          <w:u w:val="none"/>
        </w:rPr>
      </w:pPr>
      <w:r>
        <w:rPr>
          <w:rFonts w:hint="eastAsia" w:ascii="仿宋" w:hAnsi="仿宋" w:eastAsia="仿宋" w:cs="仿宋"/>
          <w:color w:val="auto"/>
          <w:sz w:val="28"/>
          <w:szCs w:val="28"/>
          <w:highlight w:val="none"/>
          <w:u w:val="none"/>
        </w:rPr>
        <w:t>蓬溪县人民医院拟对</w:t>
      </w:r>
      <w:r>
        <w:rPr>
          <w:rFonts w:hint="eastAsia" w:ascii="仿宋" w:hAnsi="仿宋" w:eastAsia="仿宋" w:cs="仿宋"/>
          <w:color w:val="auto"/>
          <w:sz w:val="28"/>
          <w:szCs w:val="28"/>
          <w:highlight w:val="none"/>
          <w:u w:val="none"/>
          <w:lang w:val="en-US" w:eastAsia="zh-CN"/>
        </w:rPr>
        <w:t>非挂网</w:t>
      </w:r>
      <w:r>
        <w:rPr>
          <w:rFonts w:hint="eastAsia" w:ascii="仿宋" w:hAnsi="仿宋" w:eastAsia="仿宋" w:cs="仿宋"/>
          <w:color w:val="auto"/>
          <w:sz w:val="28"/>
          <w:szCs w:val="28"/>
          <w:highlight w:val="none"/>
          <w:u w:val="none"/>
        </w:rPr>
        <w:t>医用耗材体外诊断试剂配送服务采购项目进行</w:t>
      </w:r>
      <w:r>
        <w:rPr>
          <w:rFonts w:hint="eastAsia" w:ascii="仿宋" w:hAnsi="仿宋" w:eastAsia="仿宋" w:cs="仿宋"/>
          <w:color w:val="auto"/>
          <w:sz w:val="28"/>
          <w:szCs w:val="28"/>
          <w:highlight w:val="none"/>
          <w:u w:val="none"/>
          <w:lang w:val="en-US" w:eastAsia="zh-CN"/>
        </w:rPr>
        <w:t>公开</w:t>
      </w:r>
      <w:r>
        <w:rPr>
          <w:rFonts w:hint="eastAsia" w:ascii="仿宋" w:hAnsi="仿宋" w:eastAsia="仿宋" w:cs="仿宋"/>
          <w:color w:val="auto"/>
          <w:sz w:val="28"/>
          <w:szCs w:val="28"/>
          <w:highlight w:val="none"/>
          <w:u w:val="none"/>
        </w:rPr>
        <w:t>招标</w:t>
      </w:r>
      <w:r>
        <w:rPr>
          <w:rFonts w:hint="eastAsia" w:ascii="仿宋" w:hAnsi="仿宋" w:eastAsia="仿宋" w:cs="仿宋"/>
          <w:color w:val="auto"/>
          <w:sz w:val="28"/>
          <w:szCs w:val="28"/>
          <w:highlight w:val="none"/>
          <w:u w:val="none"/>
          <w:lang w:val="en-US" w:eastAsia="zh-CN"/>
        </w:rPr>
        <w:t>采购</w:t>
      </w:r>
      <w:r>
        <w:rPr>
          <w:rFonts w:hint="eastAsia" w:ascii="仿宋" w:hAnsi="仿宋" w:eastAsia="仿宋" w:cs="仿宋"/>
          <w:color w:val="auto"/>
          <w:sz w:val="28"/>
          <w:szCs w:val="28"/>
          <w:highlight w:val="none"/>
          <w:u w:val="none"/>
        </w:rPr>
        <w:t xml:space="preserve">，兹邀请符合本次招标要求的供应商参加投标。 </w:t>
      </w:r>
    </w:p>
    <w:p>
      <w:pPr>
        <w:keepNext w:val="0"/>
        <w:keepLines w:val="0"/>
        <w:pageBreakBefore w:val="0"/>
        <w:widowControl w:val="0"/>
        <w:kinsoku/>
        <w:wordWrap/>
        <w:overflowPunct/>
        <w:topLinePunct w:val="0"/>
        <w:autoSpaceDE/>
        <w:autoSpaceDN/>
        <w:bidi w:val="0"/>
        <w:adjustRightInd/>
        <w:snapToGrid/>
        <w:spacing w:line="480" w:lineRule="exact"/>
        <w:ind w:right="51" w:rightChars="15" w:firstLine="562" w:firstLineChars="20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一、招标编号：</w:t>
      </w:r>
      <w:r>
        <w:rPr>
          <w:rFonts w:hint="eastAsia" w:ascii="仿宋" w:hAnsi="仿宋" w:eastAsia="仿宋" w:cs="仿宋"/>
          <w:bCs/>
          <w:color w:val="auto"/>
          <w:sz w:val="28"/>
          <w:szCs w:val="28"/>
          <w:highlight w:val="none"/>
          <w:lang w:val="en-US" w:eastAsia="zh-CN"/>
        </w:rPr>
        <w:t>Pxxrmyy20240305H</w:t>
      </w:r>
    </w:p>
    <w:p>
      <w:pPr>
        <w:keepNext w:val="0"/>
        <w:keepLines w:val="0"/>
        <w:pageBreakBefore w:val="0"/>
        <w:widowControl w:val="0"/>
        <w:kinsoku/>
        <w:wordWrap/>
        <w:overflowPunct/>
        <w:topLinePunct w:val="0"/>
        <w:autoSpaceDE/>
        <w:autoSpaceDN/>
        <w:bidi w:val="0"/>
        <w:adjustRightInd/>
        <w:snapToGrid/>
        <w:spacing w:line="480" w:lineRule="exact"/>
        <w:ind w:right="51" w:rightChars="15"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二、招标项目：</w:t>
      </w:r>
      <w:r>
        <w:rPr>
          <w:rFonts w:hint="eastAsia" w:ascii="仿宋" w:hAnsi="仿宋" w:eastAsia="仿宋" w:cs="仿宋"/>
          <w:bCs/>
          <w:color w:val="auto"/>
          <w:sz w:val="28"/>
          <w:szCs w:val="28"/>
          <w:highlight w:val="none"/>
        </w:rPr>
        <w:t>蓬溪县人民医院</w:t>
      </w:r>
      <w:r>
        <w:rPr>
          <w:rFonts w:hint="eastAsia" w:ascii="仿宋" w:hAnsi="仿宋" w:eastAsia="仿宋" w:cs="仿宋"/>
          <w:bCs/>
          <w:color w:val="auto"/>
          <w:sz w:val="28"/>
          <w:szCs w:val="28"/>
          <w:highlight w:val="none"/>
          <w:lang w:val="en-US" w:eastAsia="zh-CN"/>
        </w:rPr>
        <w:t>非挂网</w:t>
      </w:r>
      <w:r>
        <w:rPr>
          <w:rFonts w:hint="eastAsia" w:ascii="仿宋" w:hAnsi="仿宋" w:eastAsia="仿宋" w:cs="仿宋"/>
          <w:bCs/>
          <w:color w:val="auto"/>
          <w:sz w:val="28"/>
          <w:szCs w:val="28"/>
          <w:highlight w:val="none"/>
        </w:rPr>
        <w:t>医用耗材体外诊断试剂配送服务采购项目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bCs/>
          <w:color w:val="auto"/>
          <w:sz w:val="28"/>
          <w:szCs w:val="28"/>
          <w:highlight w:val="none"/>
        </w:rPr>
        <w:t>、</w:t>
      </w:r>
      <w:r>
        <w:rPr>
          <w:rFonts w:hint="eastAsia" w:ascii="仿宋" w:hAnsi="仿宋" w:eastAsia="仿宋" w:cs="仿宋"/>
          <w:b/>
          <w:color w:val="auto"/>
          <w:sz w:val="28"/>
          <w:szCs w:val="28"/>
          <w:highlight w:val="none"/>
        </w:rPr>
        <w:t>招标项目简介：</w:t>
      </w:r>
    </w:p>
    <w:p>
      <w:pPr>
        <w:spacing w:after="120" w:afterLines="50" w:line="420" w:lineRule="exact"/>
        <w:ind w:firstLine="560" w:firstLineChars="200"/>
        <w:rPr>
          <w:rFonts w:hint="eastAsia" w:ascii="仿宋" w:hAnsi="仿宋" w:eastAsia="仿宋" w:cs="仿宋"/>
          <w:color w:val="auto"/>
          <w:sz w:val="28"/>
          <w:szCs w:val="28"/>
          <w:highlight w:val="none"/>
        </w:rPr>
      </w:pPr>
      <w:bookmarkStart w:id="5" w:name="PO_默认文件内容_21"/>
      <w:r>
        <w:rPr>
          <w:rFonts w:hint="eastAsia" w:ascii="仿宋" w:hAnsi="仿宋" w:eastAsia="仿宋" w:cs="仿宋"/>
          <w:color w:val="auto"/>
          <w:sz w:val="28"/>
          <w:szCs w:val="28"/>
          <w:highlight w:val="none"/>
        </w:rPr>
        <w:t>拟通过公开招标采购</w:t>
      </w:r>
      <w:r>
        <w:rPr>
          <w:rFonts w:hint="eastAsia" w:ascii="仿宋" w:hAnsi="仿宋" w:eastAsia="仿宋" w:cs="仿宋"/>
          <w:color w:val="auto"/>
          <w:sz w:val="28"/>
          <w:szCs w:val="28"/>
          <w:highlight w:val="none"/>
          <w:lang w:val="en-US" w:eastAsia="zh-CN"/>
        </w:rPr>
        <w:t>新增非挂网</w:t>
      </w:r>
      <w:r>
        <w:rPr>
          <w:rFonts w:hint="eastAsia" w:ascii="仿宋" w:hAnsi="仿宋" w:eastAsia="仿宋" w:cs="仿宋"/>
          <w:color w:val="auto"/>
          <w:sz w:val="28"/>
          <w:szCs w:val="28"/>
          <w:highlight w:val="none"/>
        </w:rPr>
        <w:t>医用耗材体外诊断试剂配送服务</w:t>
      </w:r>
      <w:r>
        <w:rPr>
          <w:rFonts w:hint="eastAsia" w:ascii="仿宋" w:hAnsi="仿宋" w:eastAsia="仿宋" w:cs="仿宋"/>
          <w:color w:val="auto"/>
          <w:sz w:val="28"/>
          <w:szCs w:val="28"/>
          <w:highlight w:val="none"/>
          <w:lang w:val="en-US" w:eastAsia="zh-CN"/>
        </w:rPr>
        <w:t>商一名</w:t>
      </w:r>
      <w:r>
        <w:rPr>
          <w:rFonts w:hint="eastAsia" w:ascii="仿宋" w:hAnsi="仿宋" w:eastAsia="仿宋" w:cs="仿宋"/>
          <w:color w:val="auto"/>
          <w:sz w:val="28"/>
          <w:szCs w:val="28"/>
          <w:highlight w:val="none"/>
        </w:rPr>
        <w:t>。</w:t>
      </w:r>
    </w:p>
    <w:bookmarkEnd w:id="5"/>
    <w:p>
      <w:pPr>
        <w:spacing w:after="120" w:afterLines="50" w:line="42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 xml:space="preserve">、投标人应具备的资格条件： </w:t>
      </w:r>
    </w:p>
    <w:p>
      <w:pPr>
        <w:pStyle w:val="75"/>
        <w:spacing w:line="460" w:lineRule="exact"/>
        <w:ind w:firstLine="560" w:firstLineChars="200"/>
        <w:rPr>
          <w:rFonts w:hint="eastAsia" w:ascii="仿宋" w:hAnsi="仿宋" w:eastAsia="仿宋" w:cs="仿宋"/>
          <w:color w:val="auto"/>
          <w:sz w:val="28"/>
          <w:szCs w:val="28"/>
          <w:highlight w:val="none"/>
        </w:rPr>
      </w:pPr>
      <w:bookmarkStart w:id="6" w:name="_Hlk126918597"/>
      <w:bookmarkStart w:id="7" w:name="PO_供应商资格条件_1"/>
      <w:r>
        <w:rPr>
          <w:rFonts w:hint="eastAsia" w:ascii="仿宋" w:hAnsi="仿宋" w:eastAsia="仿宋" w:cs="仿宋"/>
          <w:color w:val="auto"/>
          <w:sz w:val="28"/>
          <w:szCs w:val="28"/>
          <w:highlight w:val="none"/>
        </w:rPr>
        <w:t>1、具有独立承担民事责任的能力；</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3、具有履行合同所必需的设备和专业技术能力；</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4、具有依法缴纳税收和社会保障资金的良好记录；</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5、参加本次招标活动前三年内，在经营活动中没有重大违法违规记录；</w:t>
      </w:r>
    </w:p>
    <w:p>
      <w:pPr>
        <w:pStyle w:val="75"/>
        <w:spacing w:line="460" w:lineRule="exact"/>
        <w:ind w:firstLine="560" w:firstLineChars="200"/>
        <w:rPr>
          <w:rFonts w:hint="eastAsia" w:ascii="仿宋" w:hAnsi="仿宋" w:eastAsia="仿宋" w:cs="仿宋"/>
          <w:color w:val="auto"/>
          <w:sz w:val="28"/>
          <w:szCs w:val="28"/>
          <w:highlight w:val="none"/>
        </w:rPr>
      </w:pPr>
      <w:bookmarkStart w:id="8" w:name="_Hlk126851009"/>
      <w:r>
        <w:rPr>
          <w:rFonts w:hint="eastAsia" w:ascii="仿宋" w:hAnsi="仿宋" w:eastAsia="仿宋" w:cs="仿宋"/>
          <w:color w:val="auto"/>
          <w:sz w:val="28"/>
          <w:szCs w:val="28"/>
          <w:highlight w:val="none"/>
        </w:rPr>
        <w:t>6、参加本次招标活动前三年内，投标人及现任法定代表人、主要负责人无行贿犯罪记录承诺；</w:t>
      </w:r>
      <w:bookmarkEnd w:id="8"/>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bookmarkStart w:id="9" w:name="_Hlk126851017"/>
      <w:r>
        <w:rPr>
          <w:rFonts w:hint="eastAsia" w:ascii="仿宋" w:hAnsi="仿宋" w:eastAsia="仿宋" w:cs="仿宋"/>
          <w:color w:val="auto"/>
          <w:sz w:val="28"/>
          <w:szCs w:val="28"/>
          <w:highlight w:val="none"/>
        </w:rPr>
        <w:t>、投标人对是否存在受到财政部门或有关部门认定的失信行为（有效期内）以及认定次数进行承诺；</w:t>
      </w:r>
      <w:bookmarkEnd w:id="9"/>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8、供应商须符合《医疗器械监督管理条例》要求并提供医疗器械生产或经营企业许可证/经营备案证明材料； </w:t>
      </w:r>
    </w:p>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9、供应商须提供承诺，若提供配送产品为医疗器械的，产品符合《医疗器械注册管理办法》要求并具备产品注册/备案证明材料；</w:t>
      </w:r>
    </w:p>
    <w:bookmarkEnd w:id="6"/>
    <w:p>
      <w:pPr>
        <w:pStyle w:val="75"/>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10、不接受联合体投标。</w:t>
      </w:r>
    </w:p>
    <w:bookmarkEnd w:id="7"/>
    <w:p>
      <w:pPr>
        <w:spacing w:after="50" w:line="420" w:lineRule="exact"/>
        <w:ind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val="zh-CN"/>
        </w:rPr>
        <w:t>、资格审查：</w:t>
      </w:r>
    </w:p>
    <w:p>
      <w:pPr>
        <w:spacing w:after="50" w:line="420" w:lineRule="exact"/>
        <w:ind w:firstLine="560" w:firstLineChars="200"/>
        <w:rPr>
          <w:rFonts w:hint="eastAsia" w:ascii="仿宋" w:hAnsi="仿宋" w:eastAsia="仿宋" w:cs="仿宋"/>
          <w:bCs/>
          <w:color w:val="auto"/>
          <w:sz w:val="28"/>
          <w:szCs w:val="28"/>
          <w:highlight w:val="none"/>
          <w:lang w:val="zh-CN"/>
        </w:rPr>
      </w:pPr>
      <w:bookmarkStart w:id="10" w:name="PO_默认文件内容_2"/>
      <w:r>
        <w:rPr>
          <w:rFonts w:hint="eastAsia" w:ascii="仿宋" w:hAnsi="仿宋" w:eastAsia="仿宋" w:cs="仿宋"/>
          <w:bCs/>
          <w:color w:val="auto"/>
          <w:sz w:val="28"/>
          <w:szCs w:val="28"/>
          <w:highlight w:val="none"/>
          <w:lang w:val="zh-CN"/>
        </w:rPr>
        <w:t>本项目投标供应商的资格条件在评标时进行审查。供应商应在投标文件中按招标文件的规定和要求附上所有的资格证明文件，要求提供复印件的必须加盖单位印章，并在必要时提供原件备查。若提供的资格证明文件不全或不实，将导致其投标或中标资格被取消。</w:t>
      </w:r>
    </w:p>
    <w:bookmarkEnd w:id="10"/>
    <w:p>
      <w:pPr>
        <w:spacing w:after="120" w:afterLines="50" w:line="420" w:lineRule="exact"/>
        <w:ind w:firstLine="562" w:firstLineChars="200"/>
        <w:rPr>
          <w:rFonts w:hint="eastAsia" w:ascii="仿宋" w:hAnsi="仿宋" w:eastAsia="仿宋" w:cs="仿宋"/>
          <w:color w:val="auto"/>
          <w:sz w:val="28"/>
          <w:szCs w:val="28"/>
          <w:highlight w:val="none"/>
        </w:rPr>
      </w:pPr>
      <w:bookmarkStart w:id="11" w:name="PO_默认文件内容_47"/>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、投标截止时间和开标时间</w:t>
      </w:r>
      <w:bookmarkEnd w:id="11"/>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202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14</w:t>
      </w:r>
      <w:r>
        <w:rPr>
          <w:rFonts w:hint="eastAsia" w:ascii="仿宋" w:hAnsi="仿宋" w:eastAsia="仿宋" w:cs="仿宋"/>
          <w:b/>
          <w:bCs/>
          <w:color w:val="auto"/>
          <w:sz w:val="28"/>
          <w:szCs w:val="28"/>
          <w:highlight w:val="none"/>
        </w:rPr>
        <w:t>时30分</w:t>
      </w:r>
      <w:r>
        <w:rPr>
          <w:rFonts w:hint="eastAsia" w:ascii="仿宋" w:hAnsi="仿宋" w:eastAsia="仿宋" w:cs="仿宋"/>
          <w:color w:val="auto"/>
          <w:sz w:val="28"/>
          <w:szCs w:val="28"/>
          <w:highlight w:val="none"/>
        </w:rPr>
        <w:t>（北京时间）。</w:t>
      </w:r>
    </w:p>
    <w:p>
      <w:pPr>
        <w:pStyle w:val="18"/>
        <w:spacing w:after="120" w:afterLines="50" w:line="420" w:lineRule="exact"/>
        <w:ind w:firstLine="480"/>
        <w:rPr>
          <w:rFonts w:hint="eastAsia" w:ascii="仿宋" w:hAnsi="仿宋" w:eastAsia="仿宋" w:cs="仿宋"/>
          <w:color w:val="auto"/>
          <w:sz w:val="28"/>
          <w:szCs w:val="28"/>
          <w:highlight w:val="none"/>
        </w:rPr>
      </w:pPr>
      <w:bookmarkStart w:id="12" w:name="PO_默认文件内容_22"/>
      <w:r>
        <w:rPr>
          <w:rFonts w:hint="eastAsia" w:ascii="仿宋" w:hAnsi="仿宋" w:eastAsia="仿宋" w:cs="仿宋"/>
          <w:color w:val="auto"/>
          <w:sz w:val="28"/>
          <w:szCs w:val="28"/>
          <w:highlight w:val="none"/>
        </w:rPr>
        <w:t>投标文件必须在投标截止时间前送达开标地点。逾期送达或密封和标注不符合招标文件规定的投标文件恕不接受。本次招标不接受邮寄的投标文件。</w:t>
      </w:r>
    </w:p>
    <w:bookmarkEnd w:id="12"/>
    <w:p>
      <w:pPr>
        <w:spacing w:after="50" w:line="42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、开标地点:</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蓬溪县人民医院门诊四楼466会议室</w:t>
      </w:r>
      <w:r>
        <w:rPr>
          <w:rFonts w:hint="eastAsia" w:ascii="仿宋" w:hAnsi="仿宋" w:eastAsia="仿宋" w:cs="仿宋"/>
          <w:color w:val="auto"/>
          <w:sz w:val="28"/>
          <w:szCs w:val="28"/>
          <w:highlight w:val="none"/>
        </w:rPr>
        <w:t>。</w:t>
      </w:r>
    </w:p>
    <w:p>
      <w:pPr>
        <w:pStyle w:val="65"/>
        <w:spacing w:line="420" w:lineRule="exact"/>
        <w:ind w:firstLine="482"/>
        <w:rPr>
          <w:rFonts w:hint="eastAsia" w:ascii="仿宋" w:hAnsi="仿宋" w:eastAsia="仿宋" w:cs="仿宋"/>
          <w:b/>
          <w:color w:val="auto"/>
          <w:sz w:val="28"/>
          <w:szCs w:val="28"/>
          <w:highlight w:val="none"/>
        </w:rPr>
      </w:pPr>
      <w:bookmarkStart w:id="13" w:name="PO_默认文件内容_46"/>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、本投标邀请在</w:t>
      </w:r>
      <w:r>
        <w:rPr>
          <w:rFonts w:hint="eastAsia" w:ascii="仿宋" w:hAnsi="仿宋" w:eastAsia="仿宋" w:cs="仿宋"/>
          <w:b/>
          <w:color w:val="auto"/>
          <w:sz w:val="28"/>
          <w:szCs w:val="28"/>
          <w:highlight w:val="none"/>
          <w:lang w:val="en-US" w:eastAsia="zh-CN"/>
        </w:rPr>
        <w:t>蓬溪县人民医院官网采购</w:t>
      </w:r>
      <w:r>
        <w:rPr>
          <w:rFonts w:hint="eastAsia" w:ascii="仿宋" w:hAnsi="仿宋" w:eastAsia="仿宋" w:cs="仿宋"/>
          <w:b/>
          <w:color w:val="auto"/>
          <w:sz w:val="28"/>
          <w:szCs w:val="28"/>
          <w:highlight w:val="none"/>
        </w:rPr>
        <w:t>公告形式发布</w:t>
      </w:r>
      <w:r>
        <w:rPr>
          <w:rFonts w:hint="eastAsia" w:ascii="仿宋" w:hAnsi="仿宋" w:eastAsia="仿宋" w:cs="仿宋"/>
          <w:b/>
          <w:bCs/>
          <w:color w:val="auto"/>
          <w:sz w:val="28"/>
          <w:szCs w:val="28"/>
          <w:highlight w:val="none"/>
        </w:rPr>
        <w:t xml:space="preserve"> </w:t>
      </w:r>
      <w:bookmarkEnd w:id="13"/>
    </w:p>
    <w:p>
      <w:pPr>
        <w:pStyle w:val="65"/>
        <w:spacing w:line="420" w:lineRule="exact"/>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、联系方式</w:t>
      </w:r>
    </w:p>
    <w:p>
      <w:pPr>
        <w:pStyle w:val="65"/>
        <w:spacing w:line="420" w:lineRule="exact"/>
        <w:ind w:firstLine="1470" w:firstLineChars="5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址：蓬溪县赤城镇普安大道6号</w:t>
      </w:r>
    </w:p>
    <w:p>
      <w:pPr>
        <w:pStyle w:val="65"/>
        <w:spacing w:line="420" w:lineRule="exact"/>
        <w:ind w:firstLine="1470" w:firstLineChars="5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 系 人：黄先生</w:t>
      </w:r>
    </w:p>
    <w:p>
      <w:pPr>
        <w:pStyle w:val="65"/>
        <w:spacing w:line="420" w:lineRule="exact"/>
        <w:ind w:firstLine="1470" w:firstLineChars="525"/>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13982547848</w:t>
      </w:r>
    </w:p>
    <w:p>
      <w:pPr>
        <w:pStyle w:val="65"/>
        <w:spacing w:line="420" w:lineRule="exact"/>
        <w:ind w:firstLine="1470" w:firstLineChars="525"/>
        <w:rPr>
          <w:rFonts w:ascii="仿宋" w:hAnsi="仿宋" w:eastAsia="仿宋"/>
          <w:color w:val="auto"/>
          <w:sz w:val="28"/>
          <w:szCs w:val="28"/>
          <w:highlight w:val="none"/>
        </w:rPr>
      </w:pPr>
    </w:p>
    <w:p>
      <w:pPr>
        <w:pStyle w:val="28"/>
        <w:spacing w:after="50" w:afterAutospacing="0" w:line="420" w:lineRule="exact"/>
        <w:ind w:firstLine="6184" w:firstLineChars="2200"/>
        <w:rPr>
          <w:rFonts w:ascii="仿宋" w:hAnsi="仿宋" w:eastAsia="仿宋"/>
          <w:b/>
          <w:color w:val="auto"/>
          <w:sz w:val="28"/>
          <w:szCs w:val="28"/>
          <w:highlight w:val="none"/>
        </w:rPr>
        <w:sectPr>
          <w:headerReference r:id="rId6" w:type="default"/>
          <w:footerReference r:id="rId7" w:type="default"/>
          <w:type w:val="nextColumn"/>
          <w:pgSz w:w="11907" w:h="16840"/>
          <w:pgMar w:top="1440" w:right="1800" w:bottom="1440" w:left="1800" w:header="468" w:footer="992" w:gutter="0"/>
          <w:pgNumType w:fmt="decimalFullWidth" w:start="1"/>
          <w:cols w:space="720" w:num="1"/>
          <w:docGrid w:linePitch="312" w:charSpace="0"/>
        </w:sectPr>
      </w:pPr>
    </w:p>
    <w:p>
      <w:pPr>
        <w:pStyle w:val="3"/>
        <w:numPr>
          <w:ilvl w:val="0"/>
          <w:numId w:val="3"/>
        </w:numPr>
        <w:spacing w:line="240" w:lineRule="atLeast"/>
        <w:jc w:val="center"/>
        <w:rPr>
          <w:rFonts w:hint="eastAsia" w:ascii="仿宋" w:hAnsi="仿宋" w:eastAsia="仿宋"/>
          <w:bCs w:val="0"/>
          <w:color w:val="auto"/>
          <w:sz w:val="36"/>
          <w:highlight w:val="none"/>
        </w:rPr>
      </w:pPr>
      <w:bookmarkStart w:id="14" w:name="_Toc375898985"/>
      <w:bookmarkStart w:id="15" w:name="_Toc217446081"/>
      <w:bookmarkStart w:id="16" w:name="PO_默认文件内容_20"/>
      <w:r>
        <w:rPr>
          <w:rFonts w:hint="eastAsia" w:ascii="仿宋" w:hAnsi="仿宋" w:eastAsia="仿宋"/>
          <w:bCs w:val="0"/>
          <w:color w:val="auto"/>
          <w:sz w:val="36"/>
          <w:highlight w:val="none"/>
        </w:rPr>
        <w:t>投标文件格式</w:t>
      </w:r>
      <w:bookmarkEnd w:id="14"/>
      <w:bookmarkEnd w:id="15"/>
    </w:p>
    <w:p>
      <w:pPr>
        <w:numPr>
          <w:ilvl w:val="0"/>
          <w:numId w:val="4"/>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封面</w:t>
      </w: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center"/>
        <w:rPr>
          <w:rFonts w:hint="eastAsia"/>
          <w:sz w:val="36"/>
          <w:szCs w:val="36"/>
          <w:lang w:val="en-US" w:eastAsia="zh-CN"/>
        </w:rPr>
      </w:pPr>
      <w:r>
        <w:rPr>
          <w:rFonts w:hint="eastAsia"/>
          <w:sz w:val="36"/>
          <w:szCs w:val="36"/>
          <w:lang w:val="en-US" w:eastAsia="zh-CN"/>
        </w:rPr>
        <w:t>投</w:t>
      </w: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center"/>
        <w:rPr>
          <w:rFonts w:hint="eastAsia"/>
          <w:sz w:val="36"/>
          <w:szCs w:val="36"/>
          <w:lang w:val="en-US" w:eastAsia="zh-CN"/>
        </w:rPr>
      </w:pPr>
      <w:r>
        <w:rPr>
          <w:rFonts w:hint="eastAsia"/>
          <w:sz w:val="36"/>
          <w:szCs w:val="36"/>
          <w:lang w:val="en-US" w:eastAsia="zh-CN"/>
        </w:rPr>
        <w:t>标</w:t>
      </w: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center"/>
        <w:rPr>
          <w:rFonts w:hint="eastAsia"/>
          <w:sz w:val="36"/>
          <w:szCs w:val="36"/>
          <w:lang w:val="en-US" w:eastAsia="zh-CN"/>
        </w:rPr>
      </w:pPr>
      <w:r>
        <w:rPr>
          <w:rFonts w:hint="eastAsia"/>
          <w:sz w:val="36"/>
          <w:szCs w:val="36"/>
          <w:lang w:val="en-US" w:eastAsia="zh-CN"/>
        </w:rPr>
        <w:t>文</w:t>
      </w: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center"/>
        <w:rPr>
          <w:rFonts w:hint="eastAsia"/>
          <w:sz w:val="36"/>
          <w:szCs w:val="36"/>
          <w:lang w:val="en-US" w:eastAsia="zh-CN"/>
        </w:rPr>
      </w:pPr>
      <w:r>
        <w:rPr>
          <w:rFonts w:hint="eastAsia"/>
          <w:sz w:val="36"/>
          <w:szCs w:val="36"/>
          <w:lang w:val="en-US" w:eastAsia="zh-CN"/>
        </w:rPr>
        <w:t>件</w:t>
      </w:r>
    </w:p>
    <w:p>
      <w:pPr>
        <w:pStyle w:val="2"/>
        <w:widowControl w:val="0"/>
        <w:numPr>
          <w:ilvl w:val="0"/>
          <w:numId w:val="0"/>
        </w:numPr>
        <w:snapToGrid w:val="0"/>
        <w:jc w:val="center"/>
        <w:rPr>
          <w:rFonts w:hint="eastAsia"/>
          <w:sz w:val="36"/>
          <w:szCs w:val="36"/>
          <w:lang w:val="en-US" w:eastAsia="zh-CN"/>
        </w:rPr>
      </w:pPr>
    </w:p>
    <w:p>
      <w:pPr>
        <w:pStyle w:val="2"/>
        <w:widowControl w:val="0"/>
        <w:numPr>
          <w:ilvl w:val="0"/>
          <w:numId w:val="0"/>
        </w:numPr>
        <w:snapToGrid w:val="0"/>
        <w:jc w:val="both"/>
        <w:rPr>
          <w:rFonts w:hint="eastAsia"/>
          <w:sz w:val="36"/>
          <w:szCs w:val="36"/>
          <w:lang w:val="en-US" w:eastAsia="zh-CN"/>
        </w:rPr>
      </w:pPr>
    </w:p>
    <w:p>
      <w:pPr>
        <w:pStyle w:val="2"/>
        <w:widowControl w:val="0"/>
        <w:numPr>
          <w:ilvl w:val="0"/>
          <w:numId w:val="0"/>
        </w:numPr>
        <w:snapToGrid w:val="0"/>
        <w:jc w:val="center"/>
        <w:rPr>
          <w:rFonts w:hint="eastAsia"/>
          <w:sz w:val="30"/>
          <w:szCs w:val="30"/>
          <w:lang w:val="en-US" w:eastAsia="zh-CN"/>
        </w:rPr>
      </w:pPr>
    </w:p>
    <w:p>
      <w:pPr>
        <w:pStyle w:val="2"/>
        <w:widowControl w:val="0"/>
        <w:numPr>
          <w:ilvl w:val="0"/>
          <w:numId w:val="0"/>
        </w:numPr>
        <w:snapToGrid w:val="0"/>
        <w:jc w:val="center"/>
        <w:rPr>
          <w:rFonts w:hint="eastAsia"/>
          <w:sz w:val="30"/>
          <w:szCs w:val="30"/>
          <w:lang w:val="en-US" w:eastAsia="zh-CN"/>
        </w:rPr>
      </w:pPr>
    </w:p>
    <w:p>
      <w:pPr>
        <w:pStyle w:val="2"/>
        <w:widowControl w:val="0"/>
        <w:numPr>
          <w:ilvl w:val="0"/>
          <w:numId w:val="0"/>
        </w:numPr>
        <w:snapToGrid w:val="0"/>
        <w:jc w:val="center"/>
        <w:rPr>
          <w:rFonts w:hint="eastAsia"/>
          <w:sz w:val="30"/>
          <w:szCs w:val="30"/>
          <w:lang w:val="en-US" w:eastAsia="zh-CN"/>
        </w:rPr>
      </w:pPr>
    </w:p>
    <w:p>
      <w:pPr>
        <w:pStyle w:val="2"/>
        <w:widowControl w:val="0"/>
        <w:numPr>
          <w:ilvl w:val="0"/>
          <w:numId w:val="0"/>
        </w:numPr>
        <w:snapToGrid w:val="0"/>
        <w:jc w:val="center"/>
        <w:rPr>
          <w:rFonts w:hint="eastAsia"/>
          <w:sz w:val="30"/>
          <w:szCs w:val="30"/>
          <w:lang w:val="en-US" w:eastAsia="zh-CN"/>
        </w:rPr>
      </w:pPr>
    </w:p>
    <w:p>
      <w:pPr>
        <w:pStyle w:val="2"/>
        <w:widowControl w:val="0"/>
        <w:numPr>
          <w:ilvl w:val="0"/>
          <w:numId w:val="0"/>
        </w:numPr>
        <w:snapToGrid w:val="0"/>
        <w:jc w:val="center"/>
        <w:rPr>
          <w:rFonts w:hint="eastAsia"/>
          <w:sz w:val="30"/>
          <w:szCs w:val="30"/>
          <w:lang w:val="en-US" w:eastAsia="zh-CN"/>
        </w:rPr>
      </w:pPr>
    </w:p>
    <w:p>
      <w:pPr>
        <w:pStyle w:val="2"/>
        <w:widowControl w:val="0"/>
        <w:numPr>
          <w:ilvl w:val="0"/>
          <w:numId w:val="0"/>
        </w:numPr>
        <w:snapToGrid w:val="0"/>
        <w:ind w:left="1500" w:hanging="1400" w:hangingChars="5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项目名称：蓬溪县人民医院非挂网医用耗材体外诊断试剂配送服务采购项目</w:t>
      </w:r>
    </w:p>
    <w:p>
      <w:pPr>
        <w:pStyle w:val="2"/>
        <w:widowControl w:val="0"/>
        <w:numPr>
          <w:ilvl w:val="0"/>
          <w:numId w:val="0"/>
        </w:numPr>
        <w:snapToGrid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项目编号：Pxxrmyy20240305H</w:t>
      </w:r>
    </w:p>
    <w:p>
      <w:pPr>
        <w:pStyle w:val="2"/>
        <w:widowControl w:val="0"/>
        <w:numPr>
          <w:ilvl w:val="0"/>
          <w:numId w:val="0"/>
        </w:numPr>
        <w:snapToGrid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供应商单位名称：</w:t>
      </w:r>
    </w:p>
    <w:p>
      <w:pPr>
        <w:pStyle w:val="2"/>
        <w:widowControl w:val="0"/>
        <w:numPr>
          <w:ilvl w:val="0"/>
          <w:numId w:val="0"/>
        </w:numPr>
        <w:snapToGrid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w:t>
      </w:r>
    </w:p>
    <w:p>
      <w:pPr>
        <w:pStyle w:val="4"/>
        <w:spacing w:line="400" w:lineRule="exact"/>
        <w:jc w:val="center"/>
        <w:rPr>
          <w:rFonts w:hint="eastAsia" w:ascii="仿宋" w:hAnsi="仿宋" w:eastAsia="仿宋"/>
          <w:color w:val="auto"/>
          <w:szCs w:val="28"/>
          <w:highlight w:val="none"/>
        </w:rPr>
      </w:pPr>
      <w:bookmarkStart w:id="17" w:name="_Toc217446082"/>
    </w:p>
    <w:p>
      <w:pPr>
        <w:pStyle w:val="4"/>
        <w:spacing w:line="400" w:lineRule="exact"/>
        <w:jc w:val="center"/>
        <w:rPr>
          <w:rFonts w:ascii="仿宋" w:hAnsi="仿宋" w:eastAsia="仿宋"/>
          <w:color w:val="auto"/>
          <w:szCs w:val="28"/>
          <w:highlight w:val="none"/>
        </w:rPr>
      </w:pPr>
      <w:r>
        <w:rPr>
          <w:rFonts w:hint="eastAsia" w:ascii="仿宋" w:hAnsi="仿宋" w:eastAsia="仿宋"/>
          <w:color w:val="auto"/>
          <w:szCs w:val="28"/>
          <w:highlight w:val="none"/>
          <w:lang w:val="en-US" w:eastAsia="zh-CN"/>
        </w:rPr>
        <w:t>二</w:t>
      </w:r>
      <w:r>
        <w:rPr>
          <w:rFonts w:hint="eastAsia" w:ascii="仿宋" w:hAnsi="仿宋" w:eastAsia="仿宋"/>
          <w:color w:val="auto"/>
          <w:szCs w:val="28"/>
          <w:highlight w:val="none"/>
        </w:rPr>
        <w:t>、投 标 函</w:t>
      </w:r>
      <w:bookmarkEnd w:id="17"/>
    </w:p>
    <w:p>
      <w:pPr>
        <w:pStyle w:val="22"/>
        <w:spacing w:line="400" w:lineRule="exact"/>
        <w:ind w:firstLine="0"/>
        <w:rPr>
          <w:rFonts w:ascii="仿宋" w:hAnsi="仿宋" w:eastAsia="仿宋"/>
          <w:bCs/>
          <w:color w:val="auto"/>
          <w:sz w:val="28"/>
          <w:szCs w:val="28"/>
          <w:highlight w:val="none"/>
          <w:u w:val="single"/>
        </w:rPr>
      </w:pPr>
      <w:r>
        <w:rPr>
          <w:rFonts w:hint="eastAsia" w:ascii="仿宋" w:hAnsi="仿宋" w:eastAsia="仿宋"/>
          <w:bCs/>
          <w:color w:val="auto"/>
          <w:sz w:val="28"/>
          <w:szCs w:val="28"/>
          <w:highlight w:val="none"/>
          <w:u w:val="single"/>
          <w:lang w:val="en-US" w:eastAsia="zh-CN"/>
        </w:rPr>
        <w:t>蓬溪县人民医院</w:t>
      </w:r>
      <w:r>
        <w:rPr>
          <w:rFonts w:hint="eastAsia" w:ascii="仿宋" w:hAnsi="仿宋" w:eastAsia="仿宋"/>
          <w:bCs/>
          <w:color w:val="auto"/>
          <w:sz w:val="28"/>
          <w:szCs w:val="28"/>
          <w:highlight w:val="none"/>
        </w:rPr>
        <w:t>：</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我方全面研究了 “</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”项目招标文件（招标编号</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），决定参加贵单位组织的本项目投标。</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我方授权</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（姓名、职务）代表我方</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（投标单位的名称）全权处理本项目投标的有关事宜。</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1、我方自愿按照招标文件规定的各项要求向招标人提供所需货物/服务。</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2、一旦我方中标，我方将严格履行合同规定的责任和义务。</w:t>
      </w:r>
    </w:p>
    <w:p>
      <w:pPr>
        <w:pStyle w:val="22"/>
        <w:spacing w:line="400" w:lineRule="exact"/>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3</w:t>
      </w:r>
      <w:r>
        <w:rPr>
          <w:rFonts w:hint="eastAsia" w:ascii="仿宋" w:hAnsi="仿宋" w:eastAsia="仿宋"/>
          <w:bCs/>
          <w:color w:val="auto"/>
          <w:sz w:val="28"/>
          <w:szCs w:val="28"/>
          <w:highlight w:val="none"/>
        </w:rPr>
        <w:t>、我方为本项目提交的投标文件正本1份，副本</w:t>
      </w:r>
      <w:r>
        <w:rPr>
          <w:rFonts w:hint="eastAsia" w:ascii="仿宋" w:hAnsi="仿宋" w:eastAsia="仿宋"/>
          <w:color w:val="auto"/>
          <w:sz w:val="28"/>
          <w:szCs w:val="28"/>
          <w:highlight w:val="none"/>
          <w:lang w:val="en-US" w:eastAsia="zh-CN"/>
        </w:rPr>
        <w:t>1</w:t>
      </w:r>
      <w:r>
        <w:rPr>
          <w:rFonts w:hint="eastAsia" w:ascii="仿宋" w:hAnsi="仿宋" w:eastAsia="仿宋"/>
          <w:bCs/>
          <w:color w:val="auto"/>
          <w:sz w:val="28"/>
          <w:szCs w:val="28"/>
          <w:highlight w:val="none"/>
        </w:rPr>
        <w:t>份。</w:t>
      </w:r>
    </w:p>
    <w:p>
      <w:pPr>
        <w:pStyle w:val="22"/>
        <w:spacing w:line="400" w:lineRule="exact"/>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4</w:t>
      </w:r>
      <w:r>
        <w:rPr>
          <w:rFonts w:hint="eastAsia" w:ascii="仿宋" w:hAnsi="仿宋" w:eastAsia="仿宋"/>
          <w:bCs/>
          <w:color w:val="auto"/>
          <w:sz w:val="28"/>
          <w:szCs w:val="28"/>
          <w:highlight w:val="none"/>
        </w:rPr>
        <w:t>、我方承诺投标有效期为开标后</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天（日历日）。</w:t>
      </w:r>
    </w:p>
    <w:p>
      <w:pPr>
        <w:pStyle w:val="22"/>
        <w:spacing w:line="400" w:lineRule="exact"/>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5</w:t>
      </w:r>
      <w:r>
        <w:rPr>
          <w:rFonts w:hint="eastAsia" w:ascii="仿宋" w:hAnsi="仿宋" w:eastAsia="仿宋"/>
          <w:bCs/>
          <w:color w:val="auto"/>
          <w:sz w:val="28"/>
          <w:szCs w:val="28"/>
          <w:highlight w:val="none"/>
        </w:rPr>
        <w:t>、我方愿意提供贵公司可能另外要求的，与投标有关的文件资料，并保证我方已提供和将要提供的文件资料是真实、准确的。</w:t>
      </w:r>
    </w:p>
    <w:p>
      <w:pPr>
        <w:pStyle w:val="22"/>
        <w:spacing w:line="400" w:lineRule="exact"/>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6</w:t>
      </w:r>
      <w:r>
        <w:rPr>
          <w:rFonts w:hint="eastAsia" w:ascii="仿宋" w:hAnsi="仿宋" w:eastAsia="仿宋"/>
          <w:bCs/>
          <w:color w:val="auto"/>
          <w:sz w:val="28"/>
          <w:szCs w:val="28"/>
          <w:highlight w:val="none"/>
        </w:rPr>
        <w:t>、我方完全理解招标人不一定将合同授予最低报价的投标人的行为。</w:t>
      </w:r>
    </w:p>
    <w:p>
      <w:pPr>
        <w:pStyle w:val="22"/>
        <w:spacing w:line="400" w:lineRule="exact"/>
        <w:ind w:firstLine="0"/>
        <w:rPr>
          <w:rFonts w:ascii="仿宋" w:hAnsi="仿宋" w:eastAsia="仿宋"/>
          <w:bCs/>
          <w:color w:val="auto"/>
          <w:sz w:val="28"/>
          <w:szCs w:val="28"/>
          <w:highlight w:val="none"/>
        </w:rPr>
      </w:pP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投标人名称：        （盖章）</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法定代表人或授权代表（签字）：</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通讯地址：</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邮政编码：</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联系电话：</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传    真：</w:t>
      </w:r>
    </w:p>
    <w:p>
      <w:pPr>
        <w:pStyle w:val="22"/>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日    期：</w:t>
      </w:r>
      <w:bookmarkStart w:id="18" w:name="_Toc217446083"/>
    </w:p>
    <w:p>
      <w:pPr>
        <w:widowControl/>
        <w:jc w:val="left"/>
        <w:rPr>
          <w:rFonts w:ascii="仿宋" w:hAnsi="仿宋" w:eastAsia="仿宋"/>
          <w:b/>
          <w:bCs/>
          <w:color w:val="auto"/>
          <w:sz w:val="28"/>
          <w:szCs w:val="28"/>
          <w:highlight w:val="none"/>
        </w:rPr>
      </w:pPr>
      <w:r>
        <w:rPr>
          <w:rFonts w:ascii="仿宋" w:hAnsi="仿宋" w:eastAsia="仿宋"/>
          <w:color w:val="auto"/>
          <w:sz w:val="28"/>
          <w:szCs w:val="28"/>
          <w:highlight w:val="none"/>
        </w:rPr>
        <w:br w:type="page"/>
      </w:r>
    </w:p>
    <w:p>
      <w:pPr>
        <w:pStyle w:val="4"/>
        <w:spacing w:line="400" w:lineRule="exact"/>
        <w:jc w:val="center"/>
        <w:rPr>
          <w:rFonts w:ascii="仿宋" w:hAnsi="仿宋" w:eastAsia="仿宋"/>
          <w:color w:val="auto"/>
          <w:szCs w:val="28"/>
          <w:highlight w:val="none"/>
        </w:rPr>
      </w:pPr>
      <w:r>
        <w:rPr>
          <w:rFonts w:hint="eastAsia" w:ascii="仿宋" w:hAnsi="仿宋" w:eastAsia="仿宋"/>
          <w:color w:val="auto"/>
          <w:szCs w:val="28"/>
          <w:highlight w:val="none"/>
          <w:lang w:val="en-US" w:eastAsia="zh-CN"/>
        </w:rPr>
        <w:t>三</w:t>
      </w:r>
      <w:r>
        <w:rPr>
          <w:rFonts w:hint="eastAsia" w:ascii="仿宋" w:hAnsi="仿宋" w:eastAsia="仿宋"/>
          <w:color w:val="auto"/>
          <w:szCs w:val="28"/>
          <w:highlight w:val="none"/>
        </w:rPr>
        <w:t>、法定代表人授权书</w:t>
      </w:r>
      <w:bookmarkEnd w:id="18"/>
    </w:p>
    <w:p>
      <w:pPr>
        <w:spacing w:line="400" w:lineRule="exact"/>
        <w:jc w:val="center"/>
        <w:rPr>
          <w:rFonts w:ascii="仿宋" w:hAnsi="仿宋" w:eastAsia="仿宋"/>
          <w:b/>
          <w:color w:val="auto"/>
          <w:sz w:val="44"/>
          <w:highlight w:val="none"/>
        </w:rPr>
      </w:pPr>
    </w:p>
    <w:p>
      <w:pPr>
        <w:spacing w:line="400" w:lineRule="exact"/>
        <w:rPr>
          <w:rFonts w:ascii="仿宋" w:hAnsi="仿宋" w:eastAsia="仿宋"/>
          <w:color w:val="auto"/>
          <w:sz w:val="28"/>
          <w:szCs w:val="28"/>
          <w:highlight w:val="none"/>
        </w:rPr>
      </w:pPr>
      <w:r>
        <w:rPr>
          <w:rFonts w:hint="eastAsia" w:ascii="仿宋" w:hAnsi="仿宋" w:eastAsia="仿宋"/>
          <w:bCs/>
          <w:color w:val="auto"/>
          <w:sz w:val="28"/>
          <w:szCs w:val="28"/>
          <w:highlight w:val="none"/>
          <w:u w:val="single"/>
          <w:lang w:val="en-US" w:eastAsia="zh-CN"/>
        </w:rPr>
        <w:t>蓬溪县人民医院</w:t>
      </w:r>
      <w:r>
        <w:rPr>
          <w:rFonts w:hint="eastAsia" w:ascii="仿宋" w:hAnsi="仿宋" w:eastAsia="仿宋"/>
          <w:color w:val="auto"/>
          <w:sz w:val="28"/>
          <w:szCs w:val="28"/>
          <w:highlight w:val="none"/>
        </w:rPr>
        <w:t>：</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本授权声明：</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（法定代表人姓名、职务）授权</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（被授权人姓名、职务）为我方 “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项目（招标编号</w:t>
      </w:r>
      <w:r>
        <w:rPr>
          <w:rFonts w:hint="eastAsia" w:ascii="仿宋" w:hAnsi="仿宋" w:eastAsia="仿宋"/>
          <w:bCs/>
          <w:color w:val="auto"/>
          <w:sz w:val="28"/>
          <w:szCs w:val="28"/>
          <w:highlight w:val="none"/>
          <w:u w:val="single"/>
        </w:rPr>
        <w:t xml:space="preserve">            </w:t>
      </w:r>
      <w:r>
        <w:rPr>
          <w:rFonts w:hint="eastAsia" w:ascii="仿宋" w:hAnsi="仿宋" w:eastAsia="仿宋"/>
          <w:color w:val="auto"/>
          <w:sz w:val="28"/>
          <w:szCs w:val="28"/>
          <w:highlight w:val="none"/>
        </w:rPr>
        <w:t>）投标活动的合法代表，以我方名义全权处理该项目有关投标、签订合同以及执行合同等一切事宜。</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特此声明。</w:t>
      </w: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法定代表人签字：</w:t>
      </w:r>
    </w:p>
    <w:p>
      <w:pPr>
        <w:spacing w:line="4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授权代表签字：</w:t>
      </w:r>
    </w:p>
    <w:p>
      <w:pPr>
        <w:pStyle w:val="2"/>
        <w:rPr>
          <w:rFonts w:hint="default" w:eastAsia="仿宋"/>
          <w:sz w:val="28"/>
          <w:szCs w:val="28"/>
          <w:lang w:val="en-US" w:eastAsia="zh-CN"/>
        </w:rPr>
      </w:pPr>
      <w:r>
        <w:rPr>
          <w:rFonts w:hint="eastAsia"/>
          <w:sz w:val="28"/>
          <w:szCs w:val="28"/>
          <w:lang w:val="en-US" w:eastAsia="zh-CN"/>
        </w:rPr>
        <w:t xml:space="preserve">    </w:t>
      </w:r>
      <w:r>
        <w:rPr>
          <w:rFonts w:hint="eastAsia" w:ascii="仿宋" w:hAnsi="仿宋" w:eastAsia="仿宋"/>
          <w:color w:val="auto"/>
          <w:sz w:val="28"/>
          <w:szCs w:val="28"/>
          <w:highlight w:val="none"/>
        </w:rPr>
        <w:t>授权代表</w:t>
      </w:r>
      <w:r>
        <w:rPr>
          <w:rFonts w:hint="eastAsia" w:ascii="仿宋" w:hAnsi="仿宋" w:eastAsia="仿宋"/>
          <w:color w:val="auto"/>
          <w:sz w:val="28"/>
          <w:szCs w:val="28"/>
          <w:highlight w:val="none"/>
          <w:lang w:val="en-US" w:eastAsia="zh-CN"/>
        </w:rPr>
        <w:t>联系电话：</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         （盖章）</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日    期：</w:t>
      </w:r>
    </w:p>
    <w:p>
      <w:pPr>
        <w:spacing w:line="400" w:lineRule="exact"/>
        <w:rPr>
          <w:rFonts w:ascii="仿宋" w:hAnsi="仿宋" w:eastAsia="仿宋"/>
          <w:color w:val="auto"/>
          <w:sz w:val="28"/>
          <w:szCs w:val="28"/>
          <w:highlight w:val="none"/>
        </w:rPr>
      </w:pPr>
    </w:p>
    <w:p>
      <w:pPr>
        <w:spacing w:line="400" w:lineRule="exact"/>
        <w:rPr>
          <w:rFonts w:ascii="仿宋" w:hAnsi="仿宋" w:eastAsia="仿宋"/>
          <w:b/>
          <w:color w:val="auto"/>
          <w:sz w:val="28"/>
          <w:szCs w:val="28"/>
          <w:highlight w:val="none"/>
        </w:rPr>
      </w:pPr>
      <w:r>
        <w:rPr>
          <w:rFonts w:hint="eastAsia" w:ascii="仿宋" w:hAnsi="仿宋" w:eastAsia="仿宋"/>
          <w:color w:val="auto"/>
          <w:sz w:val="32"/>
          <w:highlight w:val="none"/>
        </w:rPr>
        <w:t xml:space="preserve">         </w:t>
      </w:r>
      <w:r>
        <w:rPr>
          <w:rFonts w:hint="eastAsia" w:ascii="仿宋" w:hAnsi="仿宋" w:eastAsia="仿宋"/>
          <w:b/>
          <w:color w:val="auto"/>
          <w:sz w:val="28"/>
          <w:szCs w:val="28"/>
          <w:highlight w:val="none"/>
        </w:rPr>
        <w:t xml:space="preserve">         </w:t>
      </w: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spacing w:line="400" w:lineRule="exact"/>
        <w:rPr>
          <w:rFonts w:ascii="仿宋" w:hAnsi="仿宋" w:eastAsia="仿宋"/>
          <w:b/>
          <w:color w:val="auto"/>
          <w:sz w:val="28"/>
          <w:szCs w:val="28"/>
          <w:highlight w:val="none"/>
        </w:rPr>
      </w:pPr>
    </w:p>
    <w:p>
      <w:pPr>
        <w:rPr>
          <w:rFonts w:ascii="仿宋" w:hAnsi="仿宋" w:eastAsia="仿宋"/>
          <w:color w:val="auto"/>
          <w:highlight w:val="none"/>
        </w:rPr>
      </w:pPr>
      <w:bookmarkStart w:id="19" w:name="_Toc217446084"/>
    </w:p>
    <w:p>
      <w:pPr>
        <w:rPr>
          <w:rFonts w:ascii="仿宋" w:hAnsi="仿宋" w:eastAsia="仿宋"/>
          <w:color w:val="auto"/>
          <w:highlight w:val="none"/>
        </w:rPr>
      </w:pPr>
    </w:p>
    <w:p>
      <w:pPr>
        <w:rPr>
          <w:rFonts w:ascii="仿宋" w:hAnsi="仿宋" w:eastAsia="仿宋"/>
          <w:color w:val="auto"/>
          <w:highlight w:val="none"/>
        </w:rPr>
      </w:pPr>
    </w:p>
    <w:p>
      <w:pPr>
        <w:jc w:val="center"/>
        <w:rPr>
          <w:rFonts w:hint="eastAsia" w:ascii="仿宋" w:hAnsi="仿宋" w:eastAsia="仿宋"/>
          <w:b/>
          <w:bCs/>
          <w:color w:val="auto"/>
          <w:highlight w:val="none"/>
          <w:lang w:val="en-US" w:eastAsia="zh-CN"/>
        </w:rPr>
      </w:pPr>
      <w:r>
        <w:rPr>
          <w:rFonts w:hint="eastAsia" w:ascii="仿宋" w:hAnsi="仿宋" w:eastAsia="仿宋"/>
          <w:b/>
          <w:bCs/>
          <w:color w:val="auto"/>
          <w:highlight w:val="none"/>
          <w:lang w:val="en-US" w:eastAsia="zh-CN"/>
        </w:rPr>
        <w:t>四、报价表</w:t>
      </w:r>
    </w:p>
    <w:tbl>
      <w:tblPr>
        <w:tblStyle w:val="32"/>
        <w:tblW w:w="9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765"/>
        <w:gridCol w:w="2450"/>
        <w:gridCol w:w="1930"/>
        <w:gridCol w:w="109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商品名称</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生产厂家</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规格/型号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合计</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bl>
    <w:p>
      <w:pPr>
        <w:jc w:val="center"/>
        <w:rPr>
          <w:rFonts w:hint="eastAsia" w:ascii="仿宋" w:hAnsi="仿宋" w:eastAsia="仿宋" w:cs="仿宋"/>
          <w:color w:val="auto"/>
          <w:sz w:val="28"/>
          <w:szCs w:val="28"/>
          <w:highlight w:val="none"/>
          <w:lang w:val="en-US" w:eastAsia="zh-CN"/>
        </w:rPr>
      </w:pPr>
    </w:p>
    <w:bookmarkEnd w:id="16"/>
    <w:bookmarkEnd w:id="19"/>
    <w:p>
      <w:pPr>
        <w:spacing w:line="400" w:lineRule="exact"/>
        <w:ind w:firstLine="560" w:firstLineChars="200"/>
        <w:rPr>
          <w:rFonts w:hint="eastAsia" w:ascii="仿宋" w:hAnsi="仿宋" w:eastAsia="仿宋" w:cs="仿宋"/>
          <w:color w:val="auto"/>
          <w:sz w:val="28"/>
          <w:szCs w:val="28"/>
          <w:highlight w:val="none"/>
        </w:rPr>
      </w:pPr>
      <w:bookmarkStart w:id="20" w:name="_Toc217446087"/>
      <w:bookmarkStart w:id="21" w:name="PO_默认文件内容_10"/>
      <w:r>
        <w:rPr>
          <w:rFonts w:hint="eastAsia" w:ascii="仿宋" w:hAnsi="仿宋" w:eastAsia="仿宋" w:cs="仿宋"/>
          <w:color w:val="auto"/>
          <w:sz w:val="28"/>
          <w:szCs w:val="28"/>
          <w:highlight w:val="none"/>
        </w:rPr>
        <w:t>法定代表人签字：</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         （盖章）</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pPr>
        <w:pStyle w:val="2"/>
        <w:rPr>
          <w:rFonts w:hint="eastAsia"/>
        </w:rPr>
      </w:pPr>
    </w:p>
    <w:p>
      <w:pPr>
        <w:pStyle w:val="4"/>
        <w:spacing w:line="400" w:lineRule="exact"/>
        <w:jc w:val="center"/>
        <w:rPr>
          <w:rFonts w:hint="eastAsia" w:ascii="仿宋" w:hAnsi="仿宋" w:eastAsia="仿宋"/>
          <w:bCs w:val="0"/>
          <w:color w:val="auto"/>
          <w:szCs w:val="28"/>
          <w:highlight w:val="none"/>
          <w:lang w:val="en-US" w:eastAsia="zh-CN"/>
        </w:rPr>
      </w:pPr>
    </w:p>
    <w:p>
      <w:pPr>
        <w:rPr>
          <w:rFonts w:hint="eastAsia"/>
          <w:lang w:val="en-US" w:eastAsia="zh-CN"/>
        </w:rPr>
      </w:pPr>
    </w:p>
    <w:p>
      <w:pPr>
        <w:pStyle w:val="4"/>
        <w:spacing w:line="400" w:lineRule="exact"/>
        <w:jc w:val="center"/>
        <w:rPr>
          <w:rFonts w:ascii="仿宋" w:hAnsi="仿宋" w:eastAsia="仿宋"/>
          <w:bCs w:val="0"/>
          <w:color w:val="auto"/>
          <w:szCs w:val="28"/>
          <w:highlight w:val="none"/>
        </w:rPr>
      </w:pPr>
      <w:r>
        <w:rPr>
          <w:rFonts w:hint="eastAsia" w:ascii="仿宋" w:hAnsi="仿宋" w:eastAsia="仿宋"/>
          <w:bCs w:val="0"/>
          <w:color w:val="auto"/>
          <w:szCs w:val="28"/>
          <w:highlight w:val="none"/>
          <w:lang w:val="en-US" w:eastAsia="zh-CN"/>
        </w:rPr>
        <w:t>五</w:t>
      </w:r>
      <w:r>
        <w:rPr>
          <w:rFonts w:hint="eastAsia" w:ascii="仿宋" w:hAnsi="仿宋" w:eastAsia="仿宋"/>
          <w:bCs w:val="0"/>
          <w:color w:val="auto"/>
          <w:szCs w:val="28"/>
          <w:highlight w:val="none"/>
        </w:rPr>
        <w:t>、商务偏离表</w:t>
      </w:r>
      <w:bookmarkEnd w:id="20"/>
    </w:p>
    <w:p>
      <w:pPr>
        <w:spacing w:line="360" w:lineRule="auto"/>
        <w:rPr>
          <w:rFonts w:ascii="仿宋" w:hAnsi="仿宋" w:eastAsia="仿宋"/>
          <w:color w:val="auto"/>
          <w:sz w:val="28"/>
          <w:highlight w:val="none"/>
        </w:rPr>
      </w:pPr>
      <w:r>
        <w:rPr>
          <w:rFonts w:hint="eastAsia" w:ascii="仿宋" w:hAnsi="仿宋" w:eastAsia="仿宋"/>
          <w:color w:val="auto"/>
          <w:sz w:val="28"/>
          <w:highlight w:val="none"/>
          <w:lang w:val="en-US" w:eastAsia="zh-CN"/>
        </w:rPr>
        <w:t>项目</w:t>
      </w:r>
      <w:r>
        <w:rPr>
          <w:rFonts w:hint="eastAsia" w:ascii="仿宋" w:hAnsi="仿宋" w:eastAsia="仿宋"/>
          <w:color w:val="auto"/>
          <w:sz w:val="28"/>
          <w:highlight w:val="none"/>
        </w:rPr>
        <w:t xml:space="preserve">编号：                                         </w:t>
      </w:r>
    </w:p>
    <w:tbl>
      <w:tblPr>
        <w:tblStyle w:val="32"/>
        <w:tblW w:w="8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25"/>
        <w:gridCol w:w="2415"/>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2625"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招标要求</w:t>
            </w:r>
          </w:p>
        </w:tc>
        <w:tc>
          <w:tcPr>
            <w:tcW w:w="2415"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投标响应</w:t>
            </w:r>
          </w:p>
        </w:tc>
        <w:tc>
          <w:tcPr>
            <w:tcW w:w="262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color w:val="auto"/>
                <w:sz w:val="32"/>
                <w:highlight w:val="none"/>
              </w:rPr>
            </w:pPr>
          </w:p>
        </w:tc>
        <w:tc>
          <w:tcPr>
            <w:tcW w:w="2625" w:type="dxa"/>
          </w:tcPr>
          <w:p>
            <w:pPr>
              <w:spacing w:line="400" w:lineRule="exact"/>
              <w:jc w:val="center"/>
              <w:rPr>
                <w:rFonts w:ascii="仿宋" w:hAnsi="仿宋" w:eastAsia="仿宋"/>
                <w:color w:val="auto"/>
                <w:sz w:val="32"/>
                <w:highlight w:val="none"/>
              </w:rPr>
            </w:pPr>
          </w:p>
        </w:tc>
        <w:tc>
          <w:tcPr>
            <w:tcW w:w="2415" w:type="dxa"/>
          </w:tcPr>
          <w:p>
            <w:pPr>
              <w:spacing w:line="400" w:lineRule="exact"/>
              <w:jc w:val="center"/>
              <w:rPr>
                <w:rFonts w:ascii="仿宋" w:hAnsi="仿宋" w:eastAsia="仿宋"/>
                <w:color w:val="auto"/>
                <w:sz w:val="32"/>
                <w:highlight w:val="none"/>
              </w:rPr>
            </w:pPr>
          </w:p>
        </w:tc>
        <w:tc>
          <w:tcPr>
            <w:tcW w:w="2621" w:type="dxa"/>
          </w:tcPr>
          <w:p>
            <w:pPr>
              <w:spacing w:line="400" w:lineRule="exact"/>
              <w:jc w:val="center"/>
              <w:rPr>
                <w:rFonts w:ascii="仿宋" w:hAnsi="仿宋" w:eastAsia="仿宋"/>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color w:val="auto"/>
                <w:sz w:val="32"/>
                <w:highlight w:val="none"/>
              </w:rPr>
            </w:pPr>
          </w:p>
        </w:tc>
        <w:tc>
          <w:tcPr>
            <w:tcW w:w="2625" w:type="dxa"/>
          </w:tcPr>
          <w:p>
            <w:pPr>
              <w:spacing w:line="400" w:lineRule="exact"/>
              <w:jc w:val="center"/>
              <w:rPr>
                <w:rFonts w:ascii="仿宋" w:hAnsi="仿宋" w:eastAsia="仿宋"/>
                <w:color w:val="auto"/>
                <w:sz w:val="32"/>
                <w:highlight w:val="none"/>
              </w:rPr>
            </w:pPr>
          </w:p>
        </w:tc>
        <w:tc>
          <w:tcPr>
            <w:tcW w:w="2415" w:type="dxa"/>
          </w:tcPr>
          <w:p>
            <w:pPr>
              <w:spacing w:line="400" w:lineRule="exact"/>
              <w:jc w:val="center"/>
              <w:rPr>
                <w:rFonts w:ascii="仿宋" w:hAnsi="仿宋" w:eastAsia="仿宋"/>
                <w:color w:val="auto"/>
                <w:sz w:val="32"/>
                <w:highlight w:val="none"/>
              </w:rPr>
            </w:pPr>
          </w:p>
        </w:tc>
        <w:tc>
          <w:tcPr>
            <w:tcW w:w="2621" w:type="dxa"/>
          </w:tcPr>
          <w:p>
            <w:pPr>
              <w:spacing w:line="400" w:lineRule="exact"/>
              <w:jc w:val="center"/>
              <w:rPr>
                <w:rFonts w:ascii="仿宋" w:hAnsi="仿宋" w:eastAsia="仿宋"/>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color w:val="auto"/>
                <w:sz w:val="32"/>
                <w:highlight w:val="none"/>
              </w:rPr>
            </w:pPr>
          </w:p>
        </w:tc>
        <w:tc>
          <w:tcPr>
            <w:tcW w:w="2625" w:type="dxa"/>
          </w:tcPr>
          <w:p>
            <w:pPr>
              <w:spacing w:line="400" w:lineRule="exact"/>
              <w:jc w:val="center"/>
              <w:rPr>
                <w:rFonts w:ascii="仿宋" w:hAnsi="仿宋" w:eastAsia="仿宋"/>
                <w:color w:val="auto"/>
                <w:sz w:val="32"/>
                <w:highlight w:val="none"/>
              </w:rPr>
            </w:pPr>
          </w:p>
        </w:tc>
        <w:tc>
          <w:tcPr>
            <w:tcW w:w="2415" w:type="dxa"/>
          </w:tcPr>
          <w:p>
            <w:pPr>
              <w:spacing w:line="400" w:lineRule="exact"/>
              <w:jc w:val="center"/>
              <w:rPr>
                <w:rFonts w:ascii="仿宋" w:hAnsi="仿宋" w:eastAsia="仿宋"/>
                <w:color w:val="auto"/>
                <w:sz w:val="32"/>
                <w:highlight w:val="none"/>
              </w:rPr>
            </w:pPr>
          </w:p>
        </w:tc>
        <w:tc>
          <w:tcPr>
            <w:tcW w:w="2621" w:type="dxa"/>
          </w:tcPr>
          <w:p>
            <w:pPr>
              <w:spacing w:line="400" w:lineRule="exact"/>
              <w:jc w:val="center"/>
              <w:rPr>
                <w:rFonts w:ascii="仿宋" w:hAnsi="仿宋" w:eastAsia="仿宋"/>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仿宋" w:hAnsi="仿宋" w:eastAsia="仿宋"/>
                <w:color w:val="auto"/>
                <w:sz w:val="32"/>
                <w:highlight w:val="none"/>
              </w:rPr>
            </w:pPr>
          </w:p>
        </w:tc>
        <w:tc>
          <w:tcPr>
            <w:tcW w:w="2625" w:type="dxa"/>
          </w:tcPr>
          <w:p>
            <w:pPr>
              <w:spacing w:line="400" w:lineRule="exact"/>
              <w:jc w:val="center"/>
              <w:rPr>
                <w:rFonts w:ascii="仿宋" w:hAnsi="仿宋" w:eastAsia="仿宋"/>
                <w:color w:val="auto"/>
                <w:sz w:val="32"/>
                <w:highlight w:val="none"/>
              </w:rPr>
            </w:pPr>
          </w:p>
        </w:tc>
        <w:tc>
          <w:tcPr>
            <w:tcW w:w="2415" w:type="dxa"/>
          </w:tcPr>
          <w:p>
            <w:pPr>
              <w:spacing w:line="400" w:lineRule="exact"/>
              <w:jc w:val="center"/>
              <w:rPr>
                <w:rFonts w:ascii="仿宋" w:hAnsi="仿宋" w:eastAsia="仿宋"/>
                <w:color w:val="auto"/>
                <w:sz w:val="32"/>
                <w:highlight w:val="none"/>
              </w:rPr>
            </w:pPr>
          </w:p>
        </w:tc>
        <w:tc>
          <w:tcPr>
            <w:tcW w:w="2621" w:type="dxa"/>
          </w:tcPr>
          <w:p>
            <w:pPr>
              <w:spacing w:line="400" w:lineRule="exact"/>
              <w:jc w:val="center"/>
              <w:rPr>
                <w:rFonts w:ascii="仿宋" w:hAnsi="仿宋" w:eastAsia="仿宋"/>
                <w:color w:val="auto"/>
                <w:sz w:val="32"/>
                <w:highlight w:val="none"/>
              </w:rPr>
            </w:pPr>
          </w:p>
        </w:tc>
      </w:tr>
    </w:tbl>
    <w:p>
      <w:pPr>
        <w:spacing w:line="400" w:lineRule="exact"/>
        <w:ind w:left="754" w:leftChars="57"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注：1.本表只填写投标文件中与招标文件有偏离（包括正偏离和负偏离）的内容，投标文件中商务响应与招标文件要求完全一致的，不用在此表中列出。</w:t>
      </w:r>
    </w:p>
    <w:p>
      <w:pPr>
        <w:spacing w:line="400" w:lineRule="exact"/>
        <w:ind w:left="969" w:leftChars="285"/>
        <w:rPr>
          <w:rFonts w:ascii="仿宋" w:hAnsi="仿宋" w:eastAsia="仿宋"/>
          <w:color w:val="auto"/>
          <w:sz w:val="28"/>
          <w:szCs w:val="28"/>
          <w:highlight w:val="none"/>
        </w:rPr>
      </w:pPr>
      <w:r>
        <w:rPr>
          <w:rFonts w:hint="eastAsia" w:ascii="仿宋" w:hAnsi="仿宋" w:eastAsia="仿宋"/>
          <w:color w:val="auto"/>
          <w:sz w:val="28"/>
          <w:szCs w:val="28"/>
          <w:highlight w:val="none"/>
        </w:rPr>
        <w:t>2．供应商必须据实填写，不得虚假响应，否则将取消其投标或中标资格，并按有关规定进行处罚。</w:t>
      </w:r>
    </w:p>
    <w:p>
      <w:pPr>
        <w:adjustRightInd w:val="0"/>
        <w:spacing w:line="400" w:lineRule="exact"/>
        <w:ind w:firstLine="490" w:firstLineChars="175"/>
        <w:jc w:val="left"/>
        <w:rPr>
          <w:rFonts w:ascii="仿宋" w:hAnsi="仿宋" w:eastAsia="仿宋"/>
          <w:bCs/>
          <w:color w:val="auto"/>
          <w:sz w:val="28"/>
          <w:szCs w:val="28"/>
          <w:highlight w:val="none"/>
        </w:rPr>
      </w:pPr>
    </w:p>
    <w:p>
      <w:pPr>
        <w:adjustRightInd w:val="0"/>
        <w:spacing w:line="400" w:lineRule="exact"/>
        <w:ind w:firstLine="490" w:firstLineChars="175"/>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投标人名称：      （盖章）</w:t>
      </w:r>
    </w:p>
    <w:p>
      <w:pPr>
        <w:adjustRightInd w:val="0"/>
        <w:spacing w:line="400" w:lineRule="exact"/>
        <w:ind w:firstLine="490" w:firstLineChars="175"/>
        <w:jc w:val="left"/>
        <w:rPr>
          <w:rFonts w:ascii="仿宋" w:hAnsi="仿宋" w:eastAsia="仿宋"/>
          <w:bCs/>
          <w:color w:val="auto"/>
          <w:sz w:val="28"/>
          <w:szCs w:val="28"/>
          <w:highlight w:val="none"/>
        </w:rPr>
      </w:pPr>
      <w:r>
        <w:rPr>
          <w:rFonts w:hint="eastAsia" w:ascii="仿宋" w:hAnsi="仿宋" w:eastAsia="仿宋"/>
          <w:color w:val="auto"/>
          <w:sz w:val="28"/>
          <w:szCs w:val="28"/>
          <w:highlight w:val="none"/>
        </w:rPr>
        <w:t>法定代表人或授权代表（签字）</w:t>
      </w:r>
      <w:r>
        <w:rPr>
          <w:rFonts w:hint="eastAsia" w:ascii="仿宋" w:hAnsi="仿宋" w:eastAsia="仿宋"/>
          <w:bCs/>
          <w:color w:val="auto"/>
          <w:sz w:val="28"/>
          <w:szCs w:val="28"/>
          <w:highlight w:val="none"/>
        </w:rPr>
        <w:t>：</w:t>
      </w:r>
    </w:p>
    <w:p>
      <w:pPr>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投标日期</w:t>
      </w:r>
      <w:r>
        <w:rPr>
          <w:rFonts w:ascii="仿宋" w:hAnsi="仿宋" w:eastAsia="仿宋"/>
          <w:bCs/>
          <w:color w:val="auto"/>
          <w:sz w:val="28"/>
          <w:szCs w:val="28"/>
          <w:highlight w:val="none"/>
        </w:rPr>
        <w:t>:</w:t>
      </w: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spacing w:line="400" w:lineRule="exact"/>
        <w:rPr>
          <w:rFonts w:ascii="仿宋" w:hAnsi="仿宋" w:eastAsia="仿宋"/>
          <w:bCs/>
          <w:color w:val="auto"/>
          <w:sz w:val="28"/>
          <w:szCs w:val="28"/>
          <w:highlight w:val="none"/>
        </w:rPr>
      </w:pPr>
    </w:p>
    <w:p>
      <w:pPr>
        <w:rPr>
          <w:rFonts w:ascii="仿宋" w:hAnsi="仿宋" w:eastAsia="仿宋"/>
          <w:color w:val="auto"/>
          <w:highlight w:val="none"/>
        </w:rPr>
      </w:pPr>
      <w:bookmarkStart w:id="22" w:name="_Toc217446088"/>
    </w:p>
    <w:p>
      <w:pPr>
        <w:pStyle w:val="4"/>
        <w:spacing w:line="400" w:lineRule="exact"/>
        <w:jc w:val="center"/>
        <w:rPr>
          <w:rFonts w:ascii="仿宋" w:hAnsi="仿宋" w:eastAsia="仿宋"/>
          <w:bCs w:val="0"/>
          <w:color w:val="auto"/>
          <w:szCs w:val="28"/>
          <w:highlight w:val="none"/>
        </w:rPr>
      </w:pPr>
      <w:r>
        <w:rPr>
          <w:rFonts w:hint="eastAsia" w:ascii="仿宋" w:hAnsi="仿宋" w:eastAsia="仿宋"/>
          <w:bCs w:val="0"/>
          <w:color w:val="auto"/>
          <w:szCs w:val="28"/>
          <w:highlight w:val="none"/>
          <w:lang w:val="en-US" w:eastAsia="zh-CN"/>
        </w:rPr>
        <w:t>六</w:t>
      </w:r>
      <w:r>
        <w:rPr>
          <w:rFonts w:hint="eastAsia" w:ascii="仿宋" w:hAnsi="仿宋" w:eastAsia="仿宋"/>
          <w:bCs w:val="0"/>
          <w:color w:val="auto"/>
          <w:szCs w:val="28"/>
          <w:highlight w:val="none"/>
        </w:rPr>
        <w:t>、投标人基本情况表</w:t>
      </w:r>
      <w:bookmarkEnd w:id="22"/>
    </w:p>
    <w:p>
      <w:pPr>
        <w:autoSpaceDE w:val="0"/>
        <w:autoSpaceDN w:val="0"/>
        <w:adjustRightInd w:val="0"/>
        <w:spacing w:before="156" w:beforeLines="50" w:after="156" w:afterLines="50" w:line="400" w:lineRule="exact"/>
        <w:jc w:val="center"/>
        <w:rPr>
          <w:rFonts w:ascii="仿宋" w:hAnsi="仿宋" w:eastAsia="仿宋"/>
          <w:color w:val="auto"/>
          <w:sz w:val="20"/>
          <w:highlight w:val="none"/>
        </w:rPr>
      </w:pP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7019" w:type="dxa"/>
            <w:gridSpan w:val="8"/>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3440" w:type="dxa"/>
            <w:gridSpan w:val="4"/>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32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225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97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461"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33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5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97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2461"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33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网址</w:t>
            </w:r>
          </w:p>
        </w:tc>
        <w:tc>
          <w:tcPr>
            <w:tcW w:w="225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组织结构</w:t>
            </w:r>
          </w:p>
        </w:tc>
        <w:tc>
          <w:tcPr>
            <w:tcW w:w="7019" w:type="dxa"/>
            <w:gridSpan w:val="8"/>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97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06"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33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076" w:type="dxa"/>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97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06"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33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076" w:type="dxa"/>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4841" w:type="dxa"/>
            <w:gridSpan w:val="6"/>
            <w:vAlign w:val="center"/>
          </w:tcPr>
          <w:p>
            <w:pPr>
              <w:autoSpaceDE w:val="0"/>
              <w:autoSpaceDN w:val="0"/>
              <w:adjustRightInd w:val="0"/>
              <w:spacing w:line="400" w:lineRule="exact"/>
              <w:ind w:firstLine="1470" w:firstLineChars="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企业资质等级</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restart"/>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w:t>
            </w: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项目经理</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高级职称人员</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中级职称人员</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初级职称人员</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tc>
        <w:tc>
          <w:tcPr>
            <w:tcW w:w="2178"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93"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技工</w:t>
            </w:r>
          </w:p>
        </w:tc>
        <w:tc>
          <w:tcPr>
            <w:tcW w:w="2093"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7019" w:type="dxa"/>
            <w:gridSpan w:val="8"/>
            <w:vAlign w:val="center"/>
          </w:tcPr>
          <w:p>
            <w:pPr>
              <w:autoSpaceDE w:val="0"/>
              <w:autoSpaceDN w:val="0"/>
              <w:adjustRightInd w:val="0"/>
              <w:spacing w:line="400" w:lineRule="exact"/>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019" w:type="dxa"/>
            <w:gridSpan w:val="8"/>
          </w:tcPr>
          <w:p>
            <w:pPr>
              <w:autoSpaceDE w:val="0"/>
              <w:autoSpaceDN w:val="0"/>
              <w:adjustRightInd w:val="0"/>
              <w:spacing w:line="400" w:lineRule="exact"/>
              <w:jc w:val="left"/>
              <w:rPr>
                <w:rFonts w:hint="eastAsia" w:ascii="仿宋" w:hAnsi="仿宋" w:eastAsia="仿宋" w:cs="仿宋"/>
                <w:color w:val="auto"/>
                <w:sz w:val="21"/>
                <w:szCs w:val="21"/>
                <w:highlight w:val="none"/>
              </w:rPr>
            </w:pPr>
          </w:p>
        </w:tc>
      </w:tr>
    </w:tbl>
    <w:p>
      <w:pPr>
        <w:spacing w:line="400" w:lineRule="exact"/>
        <w:rPr>
          <w:rFonts w:hint="eastAsia" w:ascii="仿宋" w:hAnsi="仿宋" w:eastAsia="仿宋" w:cs="仿宋"/>
          <w:b/>
          <w:color w:val="auto"/>
          <w:sz w:val="21"/>
          <w:szCs w:val="21"/>
          <w:highlight w:val="none"/>
        </w:rPr>
      </w:pPr>
    </w:p>
    <w:p>
      <w:pPr>
        <w:adjustRightInd w:val="0"/>
        <w:spacing w:line="400" w:lineRule="exact"/>
        <w:ind w:firstLine="490" w:firstLineChars="175"/>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        （盖章）</w:t>
      </w:r>
    </w:p>
    <w:p>
      <w:pPr>
        <w:adjustRightInd w:val="0"/>
        <w:spacing w:line="400" w:lineRule="exact"/>
        <w:ind w:firstLine="490" w:firstLineChars="175"/>
        <w:jc w:val="lef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bCs/>
          <w:color w:val="auto"/>
          <w:sz w:val="28"/>
          <w:szCs w:val="28"/>
          <w:highlight w:val="none"/>
        </w:rPr>
        <w:t>：</w:t>
      </w:r>
    </w:p>
    <w:p>
      <w:pPr>
        <w:spacing w:line="4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投标日期：</w:t>
      </w:r>
    </w:p>
    <w:p>
      <w:pPr>
        <w:spacing w:line="400" w:lineRule="exact"/>
        <w:rPr>
          <w:rFonts w:hint="eastAsia" w:ascii="仿宋" w:hAnsi="仿宋" w:eastAsia="仿宋" w:cs="仿宋"/>
          <w:color w:val="auto"/>
          <w:sz w:val="28"/>
          <w:szCs w:val="28"/>
          <w:highlight w:val="none"/>
        </w:rPr>
      </w:pPr>
    </w:p>
    <w:p>
      <w:pPr>
        <w:pStyle w:val="4"/>
        <w:spacing w:line="400" w:lineRule="exact"/>
        <w:jc w:val="center"/>
        <w:rPr>
          <w:rFonts w:ascii="仿宋" w:hAnsi="仿宋" w:eastAsia="仿宋" w:cs="Arial"/>
          <w:bCs w:val="0"/>
          <w:color w:val="auto"/>
          <w:szCs w:val="28"/>
          <w:highlight w:val="none"/>
        </w:rPr>
      </w:pPr>
      <w:bookmarkStart w:id="23" w:name="_Toc217446089"/>
      <w:r>
        <w:rPr>
          <w:rFonts w:hint="eastAsia" w:ascii="仿宋" w:hAnsi="仿宋" w:eastAsia="仿宋" w:cs="Arial"/>
          <w:bCs w:val="0"/>
          <w:color w:val="auto"/>
          <w:szCs w:val="28"/>
          <w:highlight w:val="none"/>
          <w:lang w:val="en-US" w:eastAsia="zh-CN"/>
        </w:rPr>
        <w:t>七</w:t>
      </w:r>
      <w:r>
        <w:rPr>
          <w:rFonts w:hint="eastAsia" w:ascii="仿宋" w:hAnsi="仿宋" w:eastAsia="仿宋" w:cs="Arial"/>
          <w:bCs w:val="0"/>
          <w:color w:val="auto"/>
          <w:szCs w:val="28"/>
          <w:highlight w:val="none"/>
        </w:rPr>
        <w:t>、投标人类似项目业绩一览表</w:t>
      </w:r>
      <w:bookmarkEnd w:id="23"/>
    </w:p>
    <w:p>
      <w:pPr>
        <w:spacing w:line="400" w:lineRule="exact"/>
        <w:rPr>
          <w:rFonts w:ascii="仿宋" w:hAnsi="仿宋" w:eastAsia="仿宋" w:cs="Arial"/>
          <w:color w:val="auto"/>
          <w:sz w:val="24"/>
          <w:highlight w:val="none"/>
        </w:rPr>
      </w:pPr>
    </w:p>
    <w:tbl>
      <w:tblPr>
        <w:tblStyle w:val="32"/>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356"/>
        <w:gridCol w:w="1471"/>
        <w:gridCol w:w="15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ind w:firstLine="120" w:firstLineChars="5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年份</w:t>
            </w:r>
          </w:p>
        </w:tc>
        <w:tc>
          <w:tcPr>
            <w:tcW w:w="1681"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用户名称</w:t>
            </w:r>
          </w:p>
        </w:tc>
        <w:tc>
          <w:tcPr>
            <w:tcW w:w="1541" w:type="dxa"/>
            <w:vAlign w:val="center"/>
          </w:tcPr>
          <w:p>
            <w:pPr>
              <w:spacing w:line="40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项目名称</w:t>
            </w:r>
          </w:p>
        </w:tc>
        <w:tc>
          <w:tcPr>
            <w:tcW w:w="1356" w:type="dxa"/>
            <w:vAlign w:val="center"/>
          </w:tcPr>
          <w:p>
            <w:pPr>
              <w:spacing w:line="40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完成时间</w:t>
            </w:r>
          </w:p>
        </w:tc>
        <w:tc>
          <w:tcPr>
            <w:tcW w:w="1471" w:type="dxa"/>
            <w:vAlign w:val="center"/>
          </w:tcPr>
          <w:p>
            <w:pPr>
              <w:spacing w:line="400" w:lineRule="exact"/>
              <w:ind w:firstLine="120" w:firstLineChars="50"/>
              <w:rPr>
                <w:rFonts w:ascii="仿宋" w:hAnsi="仿宋" w:eastAsia="仿宋" w:cs="Arial"/>
                <w:color w:val="auto"/>
                <w:sz w:val="24"/>
                <w:szCs w:val="24"/>
                <w:highlight w:val="none"/>
              </w:rPr>
            </w:pPr>
            <w:r>
              <w:rPr>
                <w:rFonts w:ascii="仿宋" w:hAnsi="仿宋" w:eastAsia="仿宋" w:cs="Arial"/>
                <w:color w:val="auto"/>
                <w:sz w:val="24"/>
                <w:szCs w:val="24"/>
                <w:highlight w:val="none"/>
              </w:rPr>
              <w:t>合同金额</w:t>
            </w:r>
          </w:p>
        </w:tc>
        <w:tc>
          <w:tcPr>
            <w:tcW w:w="1523" w:type="dxa"/>
            <w:tcBorders>
              <w:left w:val="single" w:color="auto" w:sz="4" w:space="0"/>
            </w:tcBorders>
            <w:vAlign w:val="center"/>
          </w:tcPr>
          <w:p>
            <w:pPr>
              <w:spacing w:line="400" w:lineRule="exac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vAlign w:val="center"/>
          </w:tcPr>
          <w:p>
            <w:pPr>
              <w:spacing w:line="400" w:lineRule="exact"/>
              <w:jc w:val="center"/>
              <w:rPr>
                <w:rFonts w:ascii="仿宋" w:hAnsi="仿宋" w:eastAsia="仿宋" w:cs="Arial"/>
                <w:color w:val="auto"/>
                <w:highlight w:val="none"/>
              </w:rPr>
            </w:pPr>
          </w:p>
        </w:tc>
        <w:tc>
          <w:tcPr>
            <w:tcW w:w="1541" w:type="dxa"/>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vAlign w:val="center"/>
          </w:tcPr>
          <w:p>
            <w:pPr>
              <w:spacing w:line="400" w:lineRule="exact"/>
              <w:jc w:val="center"/>
              <w:rPr>
                <w:rFonts w:ascii="仿宋" w:hAnsi="仿宋" w:eastAsia="仿宋" w:cs="Arial"/>
                <w:color w:val="auto"/>
                <w:highlight w:val="none"/>
              </w:rPr>
            </w:pPr>
          </w:p>
        </w:tc>
        <w:tc>
          <w:tcPr>
            <w:tcW w:w="1541" w:type="dxa"/>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vAlign w:val="center"/>
          </w:tcPr>
          <w:p>
            <w:pPr>
              <w:spacing w:line="400" w:lineRule="exact"/>
              <w:jc w:val="center"/>
              <w:rPr>
                <w:rFonts w:ascii="仿宋" w:hAnsi="仿宋" w:eastAsia="仿宋" w:cs="Arial"/>
                <w:color w:val="auto"/>
                <w:highlight w:val="none"/>
              </w:rPr>
            </w:pPr>
          </w:p>
        </w:tc>
        <w:tc>
          <w:tcPr>
            <w:tcW w:w="1541" w:type="dxa"/>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Arial"/>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Arial"/>
                <w:color w:val="auto"/>
                <w:highlight w:val="none"/>
              </w:rPr>
            </w:pPr>
          </w:p>
        </w:tc>
        <w:tc>
          <w:tcPr>
            <w:tcW w:w="1356" w:type="dxa"/>
            <w:vAlign w:val="center"/>
          </w:tcPr>
          <w:p>
            <w:pPr>
              <w:spacing w:line="400" w:lineRule="exact"/>
              <w:jc w:val="center"/>
              <w:rPr>
                <w:rFonts w:ascii="仿宋" w:hAnsi="仿宋" w:eastAsia="仿宋" w:cs="Arial"/>
                <w:color w:val="auto"/>
                <w:highlight w:val="none"/>
              </w:rPr>
            </w:pPr>
          </w:p>
        </w:tc>
        <w:tc>
          <w:tcPr>
            <w:tcW w:w="1471" w:type="dxa"/>
            <w:vAlign w:val="center"/>
          </w:tcPr>
          <w:p>
            <w:pPr>
              <w:spacing w:line="400" w:lineRule="exact"/>
              <w:jc w:val="center"/>
              <w:rPr>
                <w:rFonts w:ascii="仿宋" w:hAnsi="仿宋" w:eastAsia="仿宋" w:cs="Arial"/>
                <w:color w:val="auto"/>
                <w:highlight w:val="none"/>
              </w:rPr>
            </w:pPr>
          </w:p>
        </w:tc>
        <w:tc>
          <w:tcPr>
            <w:tcW w:w="1523" w:type="dxa"/>
            <w:tcBorders>
              <w:left w:val="single" w:color="auto" w:sz="4" w:space="0"/>
            </w:tcBorders>
            <w:vAlign w:val="center"/>
          </w:tcPr>
          <w:p>
            <w:pPr>
              <w:spacing w:line="400" w:lineRule="exact"/>
              <w:jc w:val="center"/>
              <w:rPr>
                <w:rFonts w:ascii="仿宋" w:hAnsi="仿宋" w:eastAsia="仿宋" w:cs="Arial"/>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581" w:leftChars="171" w:firstLine="420" w:firstLineChars="15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 xml:space="preserve">注：投标人以上业绩需提供有关书面证明材料。“合同金额”需提供合同复印件； </w:t>
      </w:r>
    </w:p>
    <w:p>
      <w:pPr>
        <w:spacing w:line="400" w:lineRule="exact"/>
        <w:ind w:left="360"/>
        <w:jc w:val="center"/>
        <w:rPr>
          <w:rFonts w:ascii="仿宋" w:hAnsi="仿宋" w:eastAsia="仿宋" w:cs="Arial"/>
          <w:color w:val="auto"/>
          <w:sz w:val="28"/>
          <w:szCs w:val="28"/>
          <w:highlight w:val="none"/>
        </w:rPr>
      </w:pPr>
    </w:p>
    <w:p>
      <w:pPr>
        <w:spacing w:line="400" w:lineRule="exact"/>
        <w:ind w:left="360"/>
        <w:jc w:val="center"/>
        <w:rPr>
          <w:rFonts w:ascii="仿宋" w:hAnsi="仿宋" w:eastAsia="仿宋" w:cs="Arial"/>
          <w:color w:val="auto"/>
          <w:sz w:val="28"/>
          <w:szCs w:val="28"/>
          <w:highlight w:val="none"/>
        </w:rPr>
      </w:pPr>
    </w:p>
    <w:p>
      <w:pPr>
        <w:adjustRightInd w:val="0"/>
        <w:spacing w:line="40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         （盖章）</w:t>
      </w:r>
    </w:p>
    <w:p>
      <w:pPr>
        <w:adjustRightInd w:val="0"/>
        <w:spacing w:line="400" w:lineRule="exact"/>
        <w:ind w:firstLine="560" w:firstLineChars="200"/>
        <w:jc w:val="left"/>
        <w:rPr>
          <w:rFonts w:ascii="仿宋" w:hAnsi="仿宋" w:eastAsia="仿宋"/>
          <w:bCs/>
          <w:color w:val="auto"/>
          <w:sz w:val="28"/>
          <w:szCs w:val="28"/>
          <w:highlight w:val="none"/>
        </w:rPr>
      </w:pPr>
      <w:r>
        <w:rPr>
          <w:rFonts w:hint="eastAsia" w:ascii="仿宋" w:hAnsi="仿宋" w:eastAsia="仿宋"/>
          <w:color w:val="auto"/>
          <w:sz w:val="28"/>
          <w:szCs w:val="28"/>
          <w:highlight w:val="none"/>
        </w:rPr>
        <w:t>法定代表人或授权代表（签字）</w:t>
      </w:r>
      <w:r>
        <w:rPr>
          <w:rFonts w:hint="eastAsia" w:ascii="仿宋" w:hAnsi="仿宋" w:eastAsia="仿宋"/>
          <w:bCs/>
          <w:color w:val="auto"/>
          <w:sz w:val="28"/>
          <w:szCs w:val="28"/>
          <w:highlight w:val="none"/>
        </w:rPr>
        <w:t>：</w:t>
      </w:r>
    </w:p>
    <w:p>
      <w:pPr>
        <w:spacing w:line="400" w:lineRule="exact"/>
        <w:ind w:firstLine="560" w:firstLineChars="200"/>
        <w:rPr>
          <w:rFonts w:ascii="仿宋" w:hAnsi="仿宋" w:eastAsia="仿宋"/>
          <w:b/>
          <w:color w:val="auto"/>
          <w:sz w:val="28"/>
          <w:szCs w:val="28"/>
          <w:highlight w:val="none"/>
        </w:rPr>
      </w:pPr>
      <w:r>
        <w:rPr>
          <w:rFonts w:hint="eastAsia" w:ascii="仿宋" w:hAnsi="仿宋" w:eastAsia="仿宋"/>
          <w:bCs/>
          <w:color w:val="auto"/>
          <w:sz w:val="28"/>
          <w:szCs w:val="28"/>
          <w:highlight w:val="none"/>
        </w:rPr>
        <w:t>投标日期：</w:t>
      </w:r>
    </w:p>
    <w:p>
      <w:pPr>
        <w:spacing w:line="400" w:lineRule="exact"/>
        <w:rPr>
          <w:rFonts w:ascii="仿宋" w:hAnsi="仿宋" w:eastAsia="仿宋"/>
          <w:color w:val="auto"/>
          <w:sz w:val="28"/>
          <w:szCs w:val="28"/>
          <w:highlight w:val="none"/>
        </w:rPr>
      </w:pPr>
    </w:p>
    <w:p>
      <w:pPr>
        <w:spacing w:line="400" w:lineRule="exact"/>
        <w:rPr>
          <w:rFonts w:ascii="仿宋" w:hAnsi="仿宋" w:eastAsia="仿宋"/>
          <w:color w:val="auto"/>
          <w:highlight w:val="none"/>
        </w:rPr>
      </w:pPr>
    </w:p>
    <w:p>
      <w:pPr>
        <w:spacing w:line="400" w:lineRule="exact"/>
        <w:rPr>
          <w:rFonts w:ascii="仿宋" w:hAnsi="仿宋" w:eastAsia="仿宋"/>
          <w:color w:val="auto"/>
          <w:highlight w:val="none"/>
        </w:rPr>
      </w:pPr>
    </w:p>
    <w:p>
      <w:pPr>
        <w:spacing w:line="400" w:lineRule="exact"/>
        <w:rPr>
          <w:rFonts w:ascii="仿宋" w:hAnsi="仿宋" w:eastAsia="仿宋"/>
          <w:color w:val="auto"/>
          <w:highlight w:val="none"/>
        </w:rPr>
      </w:pPr>
    </w:p>
    <w:p>
      <w:pPr>
        <w:pStyle w:val="4"/>
        <w:spacing w:line="400" w:lineRule="exact"/>
        <w:jc w:val="center"/>
        <w:rPr>
          <w:rFonts w:ascii="仿宋" w:hAnsi="仿宋" w:eastAsia="仿宋"/>
          <w:bCs w:val="0"/>
          <w:color w:val="auto"/>
          <w:szCs w:val="28"/>
          <w:highlight w:val="none"/>
        </w:rPr>
      </w:pPr>
      <w:bookmarkStart w:id="24" w:name="_Toc217446090"/>
      <w:r>
        <w:rPr>
          <w:rFonts w:hint="eastAsia" w:ascii="仿宋" w:hAnsi="仿宋" w:eastAsia="仿宋"/>
          <w:bCs w:val="0"/>
          <w:color w:val="auto"/>
          <w:szCs w:val="28"/>
          <w:highlight w:val="none"/>
          <w:lang w:val="en-US" w:eastAsia="zh-CN"/>
        </w:rPr>
        <w:t>八</w:t>
      </w:r>
      <w:r>
        <w:rPr>
          <w:rFonts w:hint="eastAsia" w:ascii="仿宋" w:hAnsi="仿宋" w:eastAsia="仿宋"/>
          <w:bCs w:val="0"/>
          <w:color w:val="auto"/>
          <w:szCs w:val="28"/>
          <w:highlight w:val="none"/>
        </w:rPr>
        <w:t>、服务应答表</w:t>
      </w:r>
      <w:bookmarkEnd w:id="24"/>
    </w:p>
    <w:p>
      <w:pPr>
        <w:autoSpaceDE w:val="0"/>
        <w:autoSpaceDN w:val="0"/>
        <w:adjustRightInd w:val="0"/>
        <w:spacing w:line="400" w:lineRule="exact"/>
        <w:jc w:val="center"/>
        <w:rPr>
          <w:rFonts w:ascii="仿宋" w:hAnsi="仿宋" w:eastAsia="仿宋"/>
          <w:b/>
          <w:bCs/>
          <w:color w:val="auto"/>
          <w:sz w:val="28"/>
          <w:highlight w:val="none"/>
        </w:rPr>
      </w:pPr>
    </w:p>
    <w:p>
      <w:pPr>
        <w:pStyle w:val="76"/>
        <w:rPr>
          <w:rFonts w:ascii="仿宋" w:hAnsi="仿宋" w:eastAsia="仿宋"/>
          <w:color w:val="auto"/>
          <w:sz w:val="21"/>
          <w:szCs w:val="21"/>
          <w:highlight w:val="none"/>
        </w:rPr>
      </w:pPr>
      <w:r>
        <w:rPr>
          <w:rFonts w:hint="eastAsia" w:ascii="仿宋" w:hAnsi="仿宋" w:eastAsia="仿宋"/>
          <w:color w:val="auto"/>
          <w:highlight w:val="none"/>
          <w:lang w:val="en-US" w:eastAsia="zh-CN"/>
        </w:rPr>
        <w:t>项目</w:t>
      </w:r>
      <w:r>
        <w:rPr>
          <w:rFonts w:hint="eastAsia" w:ascii="仿宋" w:hAnsi="仿宋" w:eastAsia="仿宋"/>
          <w:color w:val="auto"/>
          <w:highlight w:val="none"/>
        </w:rPr>
        <w:t>编号</w:t>
      </w:r>
      <w:r>
        <w:rPr>
          <w:rFonts w:hint="eastAsia" w:ascii="仿宋" w:hAnsi="仿宋" w:eastAsia="仿宋"/>
          <w:color w:val="auto"/>
          <w:sz w:val="21"/>
          <w:szCs w:val="21"/>
          <w:highlight w:val="none"/>
        </w:rPr>
        <w:t xml:space="preserve">：                             </w:t>
      </w:r>
    </w:p>
    <w:tbl>
      <w:tblPr>
        <w:tblStyle w:val="32"/>
        <w:tblW w:w="82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序号</w:t>
            </w:r>
          </w:p>
        </w:tc>
        <w:tc>
          <w:tcPr>
            <w:tcW w:w="956" w:type="dxa"/>
            <w:vAlign w:val="center"/>
          </w:tcPr>
          <w:p>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包号</w:t>
            </w:r>
          </w:p>
        </w:tc>
        <w:tc>
          <w:tcPr>
            <w:tcW w:w="1516" w:type="dxa"/>
            <w:vAlign w:val="center"/>
          </w:tcPr>
          <w:p>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招标要求</w:t>
            </w:r>
          </w:p>
        </w:tc>
        <w:tc>
          <w:tcPr>
            <w:tcW w:w="4852" w:type="dxa"/>
            <w:vAlign w:val="center"/>
          </w:tcPr>
          <w:p>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1516" w:type="dxa"/>
          </w:tcPr>
          <w:p>
            <w:pPr>
              <w:widowControl/>
              <w:spacing w:line="360" w:lineRule="atLeast"/>
              <w:ind w:firstLine="470" w:firstLineChars="196"/>
              <w:jc w:val="left"/>
              <w:rPr>
                <w:rFonts w:ascii="仿宋" w:hAnsi="仿宋" w:eastAsia="仿宋"/>
                <w:color w:val="auto"/>
                <w:sz w:val="24"/>
                <w:highlight w:val="none"/>
              </w:rPr>
            </w:pPr>
          </w:p>
        </w:tc>
        <w:tc>
          <w:tcPr>
            <w:tcW w:w="4852" w:type="dxa"/>
          </w:tcPr>
          <w:p>
            <w:pPr>
              <w:widowControl/>
              <w:spacing w:line="360" w:lineRule="atLeast"/>
              <w:ind w:firstLine="470" w:firstLineChars="196"/>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1516" w:type="dxa"/>
          </w:tcPr>
          <w:p>
            <w:pPr>
              <w:widowControl/>
              <w:spacing w:line="360" w:lineRule="atLeast"/>
              <w:ind w:firstLine="470" w:firstLineChars="196"/>
              <w:jc w:val="left"/>
              <w:rPr>
                <w:rFonts w:ascii="仿宋" w:hAnsi="仿宋" w:eastAsia="仿宋"/>
                <w:color w:val="auto"/>
                <w:sz w:val="24"/>
                <w:highlight w:val="none"/>
              </w:rPr>
            </w:pPr>
          </w:p>
        </w:tc>
        <w:tc>
          <w:tcPr>
            <w:tcW w:w="4852" w:type="dxa"/>
          </w:tcPr>
          <w:p>
            <w:pPr>
              <w:widowControl/>
              <w:spacing w:line="360" w:lineRule="atLeast"/>
              <w:ind w:firstLine="470" w:firstLineChars="196"/>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1516" w:type="dxa"/>
          </w:tcPr>
          <w:p>
            <w:pPr>
              <w:widowControl/>
              <w:spacing w:line="360" w:lineRule="atLeast"/>
              <w:ind w:firstLine="470" w:firstLineChars="196"/>
              <w:jc w:val="left"/>
              <w:rPr>
                <w:rFonts w:ascii="仿宋" w:hAnsi="仿宋" w:eastAsia="仿宋"/>
                <w:color w:val="auto"/>
                <w:sz w:val="24"/>
                <w:highlight w:val="none"/>
              </w:rPr>
            </w:pPr>
          </w:p>
        </w:tc>
        <w:tc>
          <w:tcPr>
            <w:tcW w:w="4852" w:type="dxa"/>
          </w:tcPr>
          <w:p>
            <w:pPr>
              <w:widowControl/>
              <w:spacing w:line="360" w:lineRule="atLeast"/>
              <w:ind w:firstLine="470" w:firstLineChars="196"/>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956" w:type="dxa"/>
          </w:tcPr>
          <w:p>
            <w:pPr>
              <w:widowControl/>
              <w:spacing w:line="360" w:lineRule="atLeast"/>
              <w:ind w:firstLine="470" w:firstLineChars="196"/>
              <w:jc w:val="left"/>
              <w:rPr>
                <w:rFonts w:ascii="仿宋" w:hAnsi="仿宋" w:eastAsia="仿宋"/>
                <w:color w:val="auto"/>
                <w:sz w:val="24"/>
                <w:highlight w:val="none"/>
              </w:rPr>
            </w:pPr>
          </w:p>
        </w:tc>
        <w:tc>
          <w:tcPr>
            <w:tcW w:w="1516" w:type="dxa"/>
          </w:tcPr>
          <w:p>
            <w:pPr>
              <w:widowControl/>
              <w:spacing w:line="360" w:lineRule="atLeast"/>
              <w:ind w:firstLine="470" w:firstLineChars="196"/>
              <w:jc w:val="left"/>
              <w:rPr>
                <w:rFonts w:ascii="仿宋" w:hAnsi="仿宋" w:eastAsia="仿宋"/>
                <w:color w:val="auto"/>
                <w:sz w:val="24"/>
                <w:highlight w:val="none"/>
              </w:rPr>
            </w:pPr>
          </w:p>
        </w:tc>
        <w:tc>
          <w:tcPr>
            <w:tcW w:w="4852" w:type="dxa"/>
          </w:tcPr>
          <w:p>
            <w:pPr>
              <w:widowControl/>
              <w:spacing w:line="360" w:lineRule="atLeast"/>
              <w:ind w:firstLine="470" w:firstLineChars="196"/>
              <w:jc w:val="left"/>
              <w:rPr>
                <w:rFonts w:ascii="仿宋" w:hAnsi="仿宋" w:eastAsia="仿宋"/>
                <w:color w:val="auto"/>
                <w:sz w:val="24"/>
                <w:highlight w:val="none"/>
              </w:rPr>
            </w:pPr>
          </w:p>
        </w:tc>
      </w:tr>
    </w:tbl>
    <w:p>
      <w:pPr>
        <w:spacing w:line="400" w:lineRule="exact"/>
        <w:ind w:left="754" w:leftChars="57"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注：1. 投标人必须把招标项目的全部服务应答参数列入此表。</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2．按照招标项目技术要求的顺序对应填写。</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3．供应商必须据实填写，不得虚假响应，否则将取消其投标或中标资格，并按有关规定进行处罚。</w:t>
      </w:r>
    </w:p>
    <w:p>
      <w:pPr>
        <w:adjustRightInd w:val="0"/>
        <w:spacing w:line="400" w:lineRule="exact"/>
        <w:ind w:firstLine="490" w:firstLineChars="175"/>
        <w:jc w:val="left"/>
        <w:rPr>
          <w:rFonts w:ascii="仿宋" w:hAnsi="仿宋" w:eastAsia="仿宋"/>
          <w:bCs/>
          <w:color w:val="auto"/>
          <w:sz w:val="28"/>
          <w:szCs w:val="28"/>
          <w:highlight w:val="none"/>
        </w:rPr>
      </w:pPr>
    </w:p>
    <w:p>
      <w:pPr>
        <w:adjustRightInd w:val="0"/>
        <w:spacing w:line="400" w:lineRule="exact"/>
        <w:ind w:firstLine="490" w:firstLineChars="175"/>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投标人名称：        （盖章）</w:t>
      </w:r>
    </w:p>
    <w:p>
      <w:pPr>
        <w:spacing w:line="400" w:lineRule="exact"/>
        <w:ind w:firstLine="420" w:firstLineChars="150"/>
        <w:rPr>
          <w:rFonts w:ascii="仿宋" w:hAnsi="仿宋" w:eastAsia="仿宋"/>
          <w:bCs/>
          <w:color w:val="auto"/>
          <w:sz w:val="28"/>
          <w:szCs w:val="28"/>
          <w:highlight w:val="none"/>
        </w:rPr>
      </w:pPr>
      <w:r>
        <w:rPr>
          <w:rFonts w:hint="eastAsia" w:ascii="仿宋" w:hAnsi="仿宋" w:eastAsia="仿宋"/>
          <w:color w:val="auto"/>
          <w:sz w:val="28"/>
          <w:szCs w:val="28"/>
          <w:highlight w:val="none"/>
        </w:rPr>
        <w:t>法定代表人或授权代表（签字）</w:t>
      </w:r>
      <w:r>
        <w:rPr>
          <w:rFonts w:hint="eastAsia" w:ascii="仿宋" w:hAnsi="仿宋" w:eastAsia="仿宋"/>
          <w:bCs/>
          <w:color w:val="auto"/>
          <w:sz w:val="28"/>
          <w:szCs w:val="28"/>
          <w:highlight w:val="none"/>
        </w:rPr>
        <w:t>：</w:t>
      </w:r>
    </w:p>
    <w:p>
      <w:pPr>
        <w:spacing w:line="400" w:lineRule="exact"/>
        <w:ind w:firstLine="420" w:firstLineChars="150"/>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投标日期：</w:t>
      </w:r>
    </w:p>
    <w:p>
      <w:pPr>
        <w:adjustRightInd w:val="0"/>
        <w:spacing w:line="400" w:lineRule="exact"/>
        <w:ind w:firstLine="490" w:firstLineChars="175"/>
        <w:jc w:val="left"/>
        <w:rPr>
          <w:rFonts w:ascii="仿宋" w:hAnsi="仿宋" w:eastAsia="仿宋"/>
          <w:bCs/>
          <w:color w:val="auto"/>
          <w:sz w:val="28"/>
          <w:szCs w:val="28"/>
          <w:highlight w:val="none"/>
        </w:rPr>
      </w:pPr>
    </w:p>
    <w:p>
      <w:pPr>
        <w:spacing w:line="400" w:lineRule="exact"/>
        <w:ind w:firstLine="560" w:firstLineChars="200"/>
        <w:rPr>
          <w:rFonts w:ascii="仿宋" w:hAnsi="仿宋" w:eastAsia="仿宋"/>
          <w:bCs/>
          <w:color w:val="auto"/>
          <w:sz w:val="28"/>
          <w:szCs w:val="28"/>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spacing w:line="400" w:lineRule="exact"/>
        <w:ind w:firstLine="480" w:firstLineChars="200"/>
        <w:rPr>
          <w:rFonts w:ascii="仿宋" w:hAnsi="仿宋" w:eastAsia="仿宋"/>
          <w:bCs/>
          <w:color w:val="auto"/>
          <w:sz w:val="24"/>
          <w:highlight w:val="none"/>
        </w:rPr>
      </w:pPr>
    </w:p>
    <w:p>
      <w:pPr>
        <w:pStyle w:val="4"/>
        <w:spacing w:line="400" w:lineRule="exact"/>
        <w:jc w:val="center"/>
        <w:rPr>
          <w:rFonts w:ascii="仿宋" w:hAnsi="仿宋" w:eastAsia="仿宋" w:cs="Arial"/>
          <w:color w:val="auto"/>
          <w:szCs w:val="28"/>
          <w:highlight w:val="none"/>
        </w:rPr>
      </w:pPr>
      <w:bookmarkStart w:id="25" w:name="_Toc217446091"/>
      <w:r>
        <w:rPr>
          <w:rFonts w:hint="eastAsia" w:ascii="仿宋" w:hAnsi="仿宋" w:eastAsia="仿宋"/>
          <w:bCs w:val="0"/>
          <w:color w:val="auto"/>
          <w:szCs w:val="28"/>
          <w:highlight w:val="none"/>
          <w:lang w:val="en-US" w:eastAsia="zh-CN"/>
        </w:rPr>
        <w:t>九</w:t>
      </w:r>
      <w:r>
        <w:rPr>
          <w:rFonts w:hint="eastAsia" w:ascii="仿宋" w:hAnsi="仿宋" w:eastAsia="仿宋"/>
          <w:bCs w:val="0"/>
          <w:color w:val="auto"/>
          <w:szCs w:val="28"/>
          <w:highlight w:val="none"/>
        </w:rPr>
        <w:t>、投标人本项目管理、技术、服务人员情况表</w:t>
      </w:r>
      <w:bookmarkEnd w:id="25"/>
    </w:p>
    <w:p>
      <w:pPr>
        <w:spacing w:line="400" w:lineRule="exact"/>
        <w:rPr>
          <w:rFonts w:ascii="仿宋" w:hAnsi="仿宋" w:eastAsia="仿宋" w:cs="Arial"/>
          <w:b/>
          <w:bCs/>
          <w:color w:val="auto"/>
          <w:sz w:val="28"/>
          <w:highlight w:val="none"/>
        </w:rPr>
      </w:pPr>
    </w:p>
    <w:p>
      <w:pPr>
        <w:spacing w:line="400" w:lineRule="exact"/>
        <w:rPr>
          <w:rFonts w:ascii="仿宋" w:hAnsi="仿宋" w:eastAsia="仿宋" w:cs="Arial"/>
          <w:bCs/>
          <w:color w:val="auto"/>
          <w:sz w:val="24"/>
          <w:highlight w:val="none"/>
        </w:rPr>
      </w:pPr>
      <w:r>
        <w:rPr>
          <w:rFonts w:hint="eastAsia" w:ascii="仿宋" w:hAnsi="仿宋" w:eastAsia="仿宋" w:cs="Arial"/>
          <w:b/>
          <w:bCs/>
          <w:color w:val="auto"/>
          <w:sz w:val="28"/>
          <w:highlight w:val="none"/>
        </w:rPr>
        <w:t xml:space="preserve">   </w:t>
      </w:r>
      <w:r>
        <w:rPr>
          <w:rFonts w:hint="eastAsia" w:ascii="仿宋" w:hAnsi="仿宋" w:eastAsia="仿宋" w:cs="Arial"/>
          <w:bCs/>
          <w:color w:val="auto"/>
          <w:sz w:val="24"/>
          <w:highlight w:val="none"/>
          <w:lang w:val="en-US" w:eastAsia="zh-CN"/>
        </w:rPr>
        <w:t>项目</w:t>
      </w:r>
      <w:r>
        <w:rPr>
          <w:rFonts w:hint="eastAsia" w:ascii="仿宋" w:hAnsi="仿宋" w:eastAsia="仿宋" w:cs="Arial"/>
          <w:bCs/>
          <w:color w:val="auto"/>
          <w:sz w:val="24"/>
          <w:highlight w:val="none"/>
        </w:rPr>
        <w:t xml:space="preserve">编号：                                         </w:t>
      </w:r>
    </w:p>
    <w:p>
      <w:pPr>
        <w:spacing w:line="400" w:lineRule="exact"/>
        <w:ind w:firstLine="480" w:firstLineChars="200"/>
        <w:rPr>
          <w:rFonts w:ascii="仿宋" w:hAnsi="仿宋" w:eastAsia="仿宋" w:cs="Arial"/>
          <w:bCs/>
          <w:color w:val="auto"/>
          <w:sz w:val="24"/>
          <w:highlight w:val="none"/>
        </w:rPr>
      </w:pPr>
      <w:r>
        <w:rPr>
          <w:rFonts w:hint="eastAsia" w:ascii="仿宋" w:hAnsi="仿宋" w:eastAsia="仿宋" w:cs="Arial"/>
          <w:bCs/>
          <w:color w:val="auto"/>
          <w:sz w:val="24"/>
          <w:highlight w:val="none"/>
        </w:rPr>
        <w:t xml:space="preserve">                                      </w:t>
      </w:r>
    </w:p>
    <w:tbl>
      <w:tblPr>
        <w:tblStyle w:val="32"/>
        <w:tblW w:w="7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10"/>
        <w:gridCol w:w="811"/>
        <w:gridCol w:w="811"/>
        <w:gridCol w:w="811"/>
        <w:gridCol w:w="1057"/>
        <w:gridCol w:w="743"/>
        <w:gridCol w:w="84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类别</w:t>
            </w:r>
          </w:p>
        </w:tc>
        <w:tc>
          <w:tcPr>
            <w:tcW w:w="810"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职务</w:t>
            </w:r>
          </w:p>
        </w:tc>
        <w:tc>
          <w:tcPr>
            <w:tcW w:w="811"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姓名</w:t>
            </w:r>
          </w:p>
        </w:tc>
        <w:tc>
          <w:tcPr>
            <w:tcW w:w="811"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职称</w:t>
            </w:r>
          </w:p>
        </w:tc>
        <w:tc>
          <w:tcPr>
            <w:tcW w:w="811" w:type="dxa"/>
            <w:vMerge w:val="restart"/>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常住地</w:t>
            </w:r>
          </w:p>
        </w:tc>
        <w:tc>
          <w:tcPr>
            <w:tcW w:w="3389" w:type="dxa"/>
            <w:gridSpan w:val="4"/>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continue"/>
            <w:vAlign w:val="center"/>
          </w:tcPr>
          <w:p>
            <w:pPr>
              <w:spacing w:line="400" w:lineRule="exact"/>
              <w:jc w:val="center"/>
              <w:rPr>
                <w:rFonts w:ascii="仿宋" w:hAnsi="仿宋" w:eastAsia="仿宋" w:cs="Arial"/>
                <w:color w:val="auto"/>
                <w:sz w:val="24"/>
                <w:szCs w:val="24"/>
                <w:highlight w:val="none"/>
              </w:rPr>
            </w:pPr>
          </w:p>
        </w:tc>
        <w:tc>
          <w:tcPr>
            <w:tcW w:w="810" w:type="dxa"/>
            <w:vMerge w:val="continue"/>
            <w:vAlign w:val="center"/>
          </w:tcPr>
          <w:p>
            <w:pPr>
              <w:spacing w:line="400" w:lineRule="exact"/>
              <w:jc w:val="center"/>
              <w:rPr>
                <w:rFonts w:ascii="仿宋" w:hAnsi="仿宋" w:eastAsia="仿宋" w:cs="Arial"/>
                <w:color w:val="auto"/>
                <w:sz w:val="24"/>
                <w:szCs w:val="24"/>
                <w:highlight w:val="none"/>
              </w:rPr>
            </w:pPr>
          </w:p>
        </w:tc>
        <w:tc>
          <w:tcPr>
            <w:tcW w:w="811" w:type="dxa"/>
            <w:vMerge w:val="continue"/>
            <w:vAlign w:val="center"/>
          </w:tcPr>
          <w:p>
            <w:pPr>
              <w:spacing w:line="400" w:lineRule="exact"/>
              <w:jc w:val="center"/>
              <w:rPr>
                <w:rFonts w:ascii="仿宋" w:hAnsi="仿宋" w:eastAsia="仿宋" w:cs="Arial"/>
                <w:color w:val="auto"/>
                <w:sz w:val="24"/>
                <w:szCs w:val="24"/>
                <w:highlight w:val="none"/>
              </w:rPr>
            </w:pPr>
          </w:p>
        </w:tc>
        <w:tc>
          <w:tcPr>
            <w:tcW w:w="811" w:type="dxa"/>
            <w:vMerge w:val="continue"/>
            <w:vAlign w:val="center"/>
          </w:tcPr>
          <w:p>
            <w:pPr>
              <w:spacing w:line="400" w:lineRule="exact"/>
              <w:jc w:val="center"/>
              <w:rPr>
                <w:rFonts w:ascii="仿宋" w:hAnsi="仿宋" w:eastAsia="仿宋" w:cs="Arial"/>
                <w:color w:val="auto"/>
                <w:sz w:val="24"/>
                <w:szCs w:val="24"/>
                <w:highlight w:val="none"/>
              </w:rPr>
            </w:pPr>
          </w:p>
        </w:tc>
        <w:tc>
          <w:tcPr>
            <w:tcW w:w="811" w:type="dxa"/>
            <w:vMerge w:val="continue"/>
            <w:vAlign w:val="center"/>
          </w:tcPr>
          <w:p>
            <w:pPr>
              <w:spacing w:line="400" w:lineRule="exact"/>
              <w:jc w:val="center"/>
              <w:rPr>
                <w:rFonts w:ascii="仿宋" w:hAnsi="仿宋" w:eastAsia="仿宋" w:cs="Arial"/>
                <w:color w:val="auto"/>
                <w:sz w:val="24"/>
                <w:szCs w:val="24"/>
                <w:highlight w:val="none"/>
              </w:rPr>
            </w:pPr>
          </w:p>
        </w:tc>
        <w:tc>
          <w:tcPr>
            <w:tcW w:w="1057"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证书名称</w:t>
            </w:r>
          </w:p>
        </w:tc>
        <w:tc>
          <w:tcPr>
            <w:tcW w:w="743"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级别</w:t>
            </w:r>
          </w:p>
        </w:tc>
        <w:tc>
          <w:tcPr>
            <w:tcW w:w="846"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证号</w:t>
            </w:r>
          </w:p>
        </w:tc>
        <w:tc>
          <w:tcPr>
            <w:tcW w:w="743" w:type="dxa"/>
            <w:vAlign w:val="center"/>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restart"/>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管</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理</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人</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员</w:t>
            </w: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restart"/>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技</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术</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人</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员</w:t>
            </w: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restart"/>
          </w:tcPr>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售后</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服务</w:t>
            </w:r>
          </w:p>
          <w:p>
            <w:pPr>
              <w:spacing w:line="400" w:lineRule="exact"/>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人员</w:t>
            </w: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color w:val="auto"/>
                <w:sz w:val="24"/>
                <w:szCs w:val="24"/>
                <w:highlight w:val="none"/>
              </w:rPr>
            </w:pPr>
          </w:p>
        </w:tc>
        <w:tc>
          <w:tcPr>
            <w:tcW w:w="1057"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c>
          <w:tcPr>
            <w:tcW w:w="846" w:type="dxa"/>
          </w:tcPr>
          <w:p>
            <w:pPr>
              <w:spacing w:line="400" w:lineRule="exact"/>
              <w:jc w:val="center"/>
              <w:rPr>
                <w:rFonts w:ascii="仿宋" w:hAnsi="仿宋" w:eastAsia="仿宋" w:cs="Arial"/>
                <w:color w:val="auto"/>
                <w:sz w:val="24"/>
                <w:szCs w:val="24"/>
                <w:highlight w:val="none"/>
              </w:rPr>
            </w:pPr>
          </w:p>
        </w:tc>
        <w:tc>
          <w:tcPr>
            <w:tcW w:w="743" w:type="dxa"/>
          </w:tcPr>
          <w:p>
            <w:pPr>
              <w:spacing w:line="400" w:lineRule="exact"/>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1057" w:type="dxa"/>
          </w:tcPr>
          <w:p>
            <w:pPr>
              <w:spacing w:line="400" w:lineRule="exact"/>
              <w:jc w:val="center"/>
              <w:rPr>
                <w:rFonts w:ascii="仿宋" w:hAnsi="仿宋" w:eastAsia="仿宋" w:cs="Arial"/>
                <w:b/>
                <w:bCs/>
                <w:color w:val="auto"/>
                <w:sz w:val="24"/>
                <w:szCs w:val="24"/>
                <w:highlight w:val="none"/>
              </w:rPr>
            </w:pPr>
          </w:p>
        </w:tc>
        <w:tc>
          <w:tcPr>
            <w:tcW w:w="743" w:type="dxa"/>
          </w:tcPr>
          <w:p>
            <w:pPr>
              <w:spacing w:line="400" w:lineRule="exact"/>
              <w:jc w:val="center"/>
              <w:rPr>
                <w:rFonts w:ascii="仿宋" w:hAnsi="仿宋" w:eastAsia="仿宋" w:cs="Arial"/>
                <w:b/>
                <w:bCs/>
                <w:color w:val="auto"/>
                <w:sz w:val="24"/>
                <w:szCs w:val="24"/>
                <w:highlight w:val="none"/>
              </w:rPr>
            </w:pPr>
          </w:p>
        </w:tc>
        <w:tc>
          <w:tcPr>
            <w:tcW w:w="846" w:type="dxa"/>
          </w:tcPr>
          <w:p>
            <w:pPr>
              <w:spacing w:line="400" w:lineRule="exact"/>
              <w:jc w:val="center"/>
              <w:rPr>
                <w:rFonts w:ascii="仿宋" w:hAnsi="仿宋" w:eastAsia="仿宋" w:cs="Arial"/>
                <w:b/>
                <w:bCs/>
                <w:color w:val="auto"/>
                <w:sz w:val="24"/>
                <w:szCs w:val="24"/>
                <w:highlight w:val="none"/>
              </w:rPr>
            </w:pPr>
          </w:p>
        </w:tc>
        <w:tc>
          <w:tcPr>
            <w:tcW w:w="743" w:type="dxa"/>
          </w:tcPr>
          <w:p>
            <w:pPr>
              <w:spacing w:line="400" w:lineRule="exact"/>
              <w:jc w:val="center"/>
              <w:rPr>
                <w:rFonts w:ascii="仿宋" w:hAnsi="仿宋" w:eastAsia="仿宋" w:cs="Arial"/>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42" w:type="dxa"/>
            <w:vMerge w:val="continue"/>
          </w:tcPr>
          <w:p>
            <w:pPr>
              <w:spacing w:line="400" w:lineRule="exact"/>
              <w:jc w:val="center"/>
              <w:rPr>
                <w:rFonts w:ascii="仿宋" w:hAnsi="仿宋" w:eastAsia="仿宋" w:cs="Arial"/>
                <w:color w:val="auto"/>
                <w:sz w:val="24"/>
                <w:szCs w:val="24"/>
                <w:highlight w:val="none"/>
              </w:rPr>
            </w:pPr>
          </w:p>
        </w:tc>
        <w:tc>
          <w:tcPr>
            <w:tcW w:w="810" w:type="dxa"/>
          </w:tcPr>
          <w:p>
            <w:pPr>
              <w:spacing w:line="400" w:lineRule="exact"/>
              <w:jc w:val="center"/>
              <w:rPr>
                <w:rFonts w:ascii="仿宋" w:hAnsi="仿宋" w:eastAsia="仿宋" w:cs="Arial"/>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811" w:type="dxa"/>
          </w:tcPr>
          <w:p>
            <w:pPr>
              <w:spacing w:line="400" w:lineRule="exact"/>
              <w:jc w:val="center"/>
              <w:rPr>
                <w:rFonts w:ascii="仿宋" w:hAnsi="仿宋" w:eastAsia="仿宋" w:cs="Arial"/>
                <w:b/>
                <w:bCs/>
                <w:color w:val="auto"/>
                <w:sz w:val="24"/>
                <w:szCs w:val="24"/>
                <w:highlight w:val="none"/>
              </w:rPr>
            </w:pPr>
          </w:p>
        </w:tc>
        <w:tc>
          <w:tcPr>
            <w:tcW w:w="1057" w:type="dxa"/>
          </w:tcPr>
          <w:p>
            <w:pPr>
              <w:spacing w:line="400" w:lineRule="exact"/>
              <w:jc w:val="center"/>
              <w:rPr>
                <w:rFonts w:ascii="仿宋" w:hAnsi="仿宋" w:eastAsia="仿宋" w:cs="Arial"/>
                <w:b/>
                <w:bCs/>
                <w:color w:val="auto"/>
                <w:sz w:val="24"/>
                <w:szCs w:val="24"/>
                <w:highlight w:val="none"/>
              </w:rPr>
            </w:pPr>
          </w:p>
        </w:tc>
        <w:tc>
          <w:tcPr>
            <w:tcW w:w="743" w:type="dxa"/>
          </w:tcPr>
          <w:p>
            <w:pPr>
              <w:spacing w:line="400" w:lineRule="exact"/>
              <w:jc w:val="center"/>
              <w:rPr>
                <w:rFonts w:ascii="仿宋" w:hAnsi="仿宋" w:eastAsia="仿宋" w:cs="Arial"/>
                <w:b/>
                <w:bCs/>
                <w:color w:val="auto"/>
                <w:sz w:val="24"/>
                <w:szCs w:val="24"/>
                <w:highlight w:val="none"/>
              </w:rPr>
            </w:pPr>
          </w:p>
        </w:tc>
        <w:tc>
          <w:tcPr>
            <w:tcW w:w="846" w:type="dxa"/>
          </w:tcPr>
          <w:p>
            <w:pPr>
              <w:spacing w:line="400" w:lineRule="exact"/>
              <w:jc w:val="center"/>
              <w:rPr>
                <w:rFonts w:ascii="仿宋" w:hAnsi="仿宋" w:eastAsia="仿宋" w:cs="Arial"/>
                <w:b/>
                <w:bCs/>
                <w:color w:val="auto"/>
                <w:sz w:val="24"/>
                <w:szCs w:val="24"/>
                <w:highlight w:val="none"/>
              </w:rPr>
            </w:pPr>
          </w:p>
        </w:tc>
        <w:tc>
          <w:tcPr>
            <w:tcW w:w="743" w:type="dxa"/>
          </w:tcPr>
          <w:p>
            <w:pPr>
              <w:spacing w:line="400" w:lineRule="exact"/>
              <w:jc w:val="center"/>
              <w:rPr>
                <w:rFonts w:ascii="仿宋" w:hAnsi="仿宋" w:eastAsia="仿宋" w:cs="Arial"/>
                <w:b/>
                <w:bCs/>
                <w:color w:val="auto"/>
                <w:sz w:val="24"/>
                <w:szCs w:val="24"/>
                <w:highlight w:val="none"/>
              </w:rPr>
            </w:pPr>
          </w:p>
        </w:tc>
      </w:tr>
    </w:tbl>
    <w:p>
      <w:pPr>
        <w:spacing w:line="400" w:lineRule="exact"/>
        <w:jc w:val="center"/>
        <w:rPr>
          <w:rFonts w:ascii="仿宋" w:hAnsi="仿宋" w:eastAsia="仿宋" w:cs="Arial"/>
          <w:b/>
          <w:bCs/>
          <w:color w:val="auto"/>
          <w:sz w:val="28"/>
          <w:highlight w:val="none"/>
        </w:rPr>
      </w:pPr>
    </w:p>
    <w:p>
      <w:pPr>
        <w:spacing w:line="400" w:lineRule="exact"/>
        <w:jc w:val="center"/>
        <w:rPr>
          <w:rFonts w:ascii="仿宋" w:hAnsi="仿宋" w:eastAsia="仿宋" w:cs="Arial"/>
          <w:b/>
          <w:bCs/>
          <w:color w:val="auto"/>
          <w:sz w:val="28"/>
          <w:highlight w:val="none"/>
        </w:rPr>
      </w:pPr>
    </w:p>
    <w:p>
      <w:pPr>
        <w:spacing w:line="400" w:lineRule="exact"/>
        <w:jc w:val="center"/>
        <w:rPr>
          <w:rFonts w:ascii="仿宋" w:hAnsi="仿宋" w:eastAsia="仿宋" w:cs="Arial"/>
          <w:b/>
          <w:bCs/>
          <w:color w:val="auto"/>
          <w:sz w:val="28"/>
          <w:highlight w:val="none"/>
        </w:rPr>
      </w:pPr>
    </w:p>
    <w:p>
      <w:pPr>
        <w:spacing w:line="400" w:lineRule="exact"/>
        <w:jc w:val="center"/>
        <w:rPr>
          <w:rFonts w:ascii="仿宋" w:hAnsi="仿宋" w:eastAsia="仿宋" w:cs="Arial"/>
          <w:b/>
          <w:bCs/>
          <w:color w:val="auto"/>
          <w:sz w:val="28"/>
          <w:highlight w:val="none"/>
        </w:rPr>
      </w:pPr>
    </w:p>
    <w:p>
      <w:pPr>
        <w:spacing w:line="400" w:lineRule="exact"/>
        <w:jc w:val="center"/>
        <w:rPr>
          <w:rFonts w:ascii="仿宋" w:hAnsi="仿宋" w:eastAsia="仿宋" w:cs="Arial"/>
          <w:b/>
          <w:bCs/>
          <w:color w:val="auto"/>
          <w:sz w:val="28"/>
          <w:highlight w:val="none"/>
        </w:rPr>
      </w:pPr>
    </w:p>
    <w:p>
      <w:pPr>
        <w:adjustRightInd w:val="0"/>
        <w:spacing w:line="400" w:lineRule="exact"/>
        <w:ind w:firstLine="1050" w:firstLineChars="375"/>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投标人名称：        （盖章）</w:t>
      </w:r>
    </w:p>
    <w:p>
      <w:pPr>
        <w:adjustRightInd w:val="0"/>
        <w:spacing w:line="400" w:lineRule="exact"/>
        <w:ind w:firstLine="1050" w:firstLineChars="375"/>
        <w:jc w:val="left"/>
        <w:rPr>
          <w:rFonts w:ascii="仿宋" w:hAnsi="仿宋" w:eastAsia="仿宋"/>
          <w:bCs/>
          <w:color w:val="auto"/>
          <w:sz w:val="28"/>
          <w:szCs w:val="28"/>
          <w:highlight w:val="none"/>
        </w:rPr>
      </w:pPr>
      <w:r>
        <w:rPr>
          <w:rFonts w:hint="eastAsia" w:ascii="仿宋" w:hAnsi="仿宋" w:eastAsia="仿宋"/>
          <w:color w:val="auto"/>
          <w:sz w:val="28"/>
          <w:szCs w:val="28"/>
          <w:highlight w:val="none"/>
        </w:rPr>
        <w:t>法定代表人或授权代表（签字）</w:t>
      </w:r>
      <w:r>
        <w:rPr>
          <w:rFonts w:hint="eastAsia" w:ascii="仿宋" w:hAnsi="仿宋" w:eastAsia="仿宋"/>
          <w:bCs/>
          <w:color w:val="auto"/>
          <w:sz w:val="28"/>
          <w:szCs w:val="28"/>
          <w:highlight w:val="none"/>
        </w:rPr>
        <w:t>：</w:t>
      </w:r>
    </w:p>
    <w:p>
      <w:pPr>
        <w:adjustRightInd w:val="0"/>
        <w:spacing w:line="400" w:lineRule="exact"/>
        <w:ind w:firstLine="1050" w:firstLineChars="375"/>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投标日期：</w:t>
      </w: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p>
    <w:p>
      <w:pPr>
        <w:spacing w:line="400" w:lineRule="exact"/>
        <w:ind w:firstLine="560" w:firstLineChars="200"/>
        <w:rPr>
          <w:rFonts w:ascii="仿宋" w:hAnsi="仿宋" w:eastAsia="仿宋"/>
          <w:color w:val="auto"/>
          <w:sz w:val="28"/>
          <w:szCs w:val="28"/>
          <w:highlight w:val="none"/>
        </w:rPr>
      </w:pPr>
    </w:p>
    <w:p>
      <w:pPr>
        <w:pStyle w:val="4"/>
        <w:spacing w:line="400" w:lineRule="exact"/>
        <w:jc w:val="center"/>
        <w:rPr>
          <w:rFonts w:ascii="仿宋" w:hAnsi="仿宋" w:eastAsia="仿宋"/>
          <w:b/>
          <w:bCs w:val="0"/>
          <w:color w:val="auto"/>
          <w:highlight w:val="none"/>
        </w:rPr>
      </w:pPr>
      <w:r>
        <w:rPr>
          <w:rFonts w:hint="eastAsia" w:ascii="仿宋" w:hAnsi="仿宋" w:eastAsia="仿宋"/>
          <w:b/>
          <w:bCs w:val="0"/>
          <w:color w:val="auto"/>
          <w:highlight w:val="none"/>
          <w:lang w:val="en-US" w:eastAsia="zh-CN"/>
        </w:rPr>
        <w:t>十</w:t>
      </w:r>
      <w:r>
        <w:rPr>
          <w:rFonts w:hint="eastAsia" w:ascii="仿宋" w:hAnsi="仿宋" w:eastAsia="仿宋"/>
          <w:b/>
          <w:bCs w:val="0"/>
          <w:color w:val="auto"/>
          <w:highlight w:val="none"/>
        </w:rPr>
        <w:t>、承诺函</w:t>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蓬溪县人民医院</w:t>
      </w:r>
      <w:r>
        <w:rPr>
          <w:rFonts w:hint="eastAsia" w:ascii="仿宋" w:hAnsi="仿宋" w:eastAsia="仿宋"/>
          <w:color w:val="auto"/>
          <w:sz w:val="28"/>
          <w:szCs w:val="28"/>
          <w:highlight w:val="none"/>
        </w:rPr>
        <w:t>：</w:t>
      </w:r>
    </w:p>
    <w:p>
      <w:pPr>
        <w:widowControl/>
        <w:jc w:val="center"/>
        <w:rPr>
          <w:rFonts w:ascii="仿宋" w:hAnsi="仿宋" w:eastAsia="仿宋"/>
          <w:b/>
          <w:color w:val="auto"/>
          <w:sz w:val="28"/>
          <w:szCs w:val="28"/>
          <w:highlight w:val="none"/>
        </w:rPr>
      </w:pPr>
    </w:p>
    <w:p>
      <w:pPr>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我单位作为本次采购项目的投标人，根据招标文件要求，现郑重承诺如下：</w:t>
      </w:r>
    </w:p>
    <w:p>
      <w:pPr>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具备本项目规定的条件：</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1、具有独立承担民事责任的能力；</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2、具有良好的商业信誉和健全的财务会计制度；</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3、具有履行合同所必需的设备和专业技术能力；</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4、具有依法缴纳税收和社会保障资金的良好记录；</w:t>
      </w:r>
    </w:p>
    <w:p>
      <w:pPr>
        <w:pStyle w:val="75"/>
        <w:spacing w:line="4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、参加本次招标活动前三年内，在经营活动中没有重大违法违规记录；</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6、参加本次招标活动前三年内，投标人及现任法定代表人、主要负责人无行贿犯罪记录承诺；</w:t>
      </w:r>
    </w:p>
    <w:p>
      <w:pPr>
        <w:pStyle w:val="75"/>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7、投标人不存在受到财政部门或有关部门认定的失信行为（有效期内）；</w:t>
      </w:r>
    </w:p>
    <w:p>
      <w:pPr>
        <w:spacing w:line="36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8、我公司承诺，若配送产品为医疗器械的，产品须符合《医疗器械注册管理办法》要求并提供产品的注册/备案证明材料</w:t>
      </w:r>
      <w:r>
        <w:rPr>
          <w:rFonts w:hint="eastAsia" w:ascii="仿宋" w:hAnsi="仿宋" w:eastAsia="仿宋"/>
          <w:color w:val="auto"/>
          <w:sz w:val="28"/>
          <w:szCs w:val="28"/>
          <w:highlight w:val="none"/>
          <w:lang w:eastAsia="zh-CN"/>
        </w:rPr>
        <w:t>；</w:t>
      </w:r>
    </w:p>
    <w:p>
      <w:pPr>
        <w:spacing w:line="36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9、遵守国家相关廉洁规定；</w:t>
      </w:r>
      <w:bookmarkStart w:id="43" w:name="_GoBack"/>
      <w:bookmarkEnd w:id="43"/>
    </w:p>
    <w:p>
      <w:pPr>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本单位对上述承诺的内容事项真实性负责。如经查实上述承诺的内容事项存在虚假，我单位愿意接受以提供虚假材料谋取中标追究法律责任。</w:t>
      </w:r>
    </w:p>
    <w:p>
      <w:pPr>
        <w:widowControl/>
        <w:ind w:firstLine="548" w:firstLineChars="196"/>
        <w:jc w:val="left"/>
        <w:rPr>
          <w:rFonts w:ascii="仿宋" w:hAnsi="仿宋" w:eastAsia="仿宋"/>
          <w:color w:val="auto"/>
          <w:sz w:val="28"/>
          <w:szCs w:val="28"/>
          <w:highlight w:val="none"/>
        </w:rPr>
      </w:pPr>
    </w:p>
    <w:p>
      <w:pPr>
        <w:widowControl/>
        <w:ind w:firstLine="548" w:firstLineChars="196"/>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投标人名称：XXXX（单位公章）。</w:t>
      </w:r>
    </w:p>
    <w:p>
      <w:pPr>
        <w:widowControl/>
        <w:ind w:firstLine="548" w:firstLineChars="196"/>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法定代表人/单位负责人或授权代表（签字或加盖个人名章）：XXXX。</w:t>
      </w:r>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日    期：XXXX。</w:t>
      </w:r>
    </w:p>
    <w:p>
      <w:pPr>
        <w:widowControl/>
        <w:jc w:val="left"/>
        <w:rPr>
          <w:rFonts w:ascii="仿宋" w:hAnsi="仿宋" w:eastAsia="仿宋"/>
          <w:b/>
          <w:color w:val="auto"/>
          <w:kern w:val="44"/>
          <w:sz w:val="28"/>
          <w:szCs w:val="28"/>
          <w:highlight w:val="none"/>
        </w:rPr>
      </w:pPr>
      <w:bookmarkStart w:id="26" w:name="_Toc375898986"/>
      <w:bookmarkStart w:id="27" w:name="_Toc217446092"/>
      <w:r>
        <w:rPr>
          <w:rFonts w:ascii="仿宋" w:hAnsi="仿宋" w:eastAsia="仿宋"/>
          <w:bCs/>
          <w:color w:val="auto"/>
          <w:sz w:val="28"/>
          <w:szCs w:val="28"/>
          <w:highlight w:val="none"/>
        </w:rPr>
        <w:br w:type="page"/>
      </w:r>
    </w:p>
    <w:p>
      <w:pPr>
        <w:pStyle w:val="3"/>
        <w:spacing w:line="240" w:lineRule="atLeast"/>
        <w:jc w:val="center"/>
        <w:rPr>
          <w:rFonts w:ascii="仿宋" w:hAnsi="仿宋" w:eastAsia="仿宋"/>
          <w:bCs w:val="0"/>
          <w:color w:val="auto"/>
          <w:sz w:val="32"/>
          <w:szCs w:val="32"/>
          <w:highlight w:val="none"/>
        </w:rPr>
      </w:pPr>
      <w:r>
        <w:rPr>
          <w:rFonts w:hint="eastAsia" w:ascii="仿宋" w:hAnsi="仿宋" w:eastAsia="仿宋"/>
          <w:bCs w:val="0"/>
          <w:color w:val="auto"/>
          <w:sz w:val="32"/>
          <w:szCs w:val="32"/>
          <w:highlight w:val="none"/>
          <w:lang w:val="en-US" w:eastAsia="zh-CN"/>
        </w:rPr>
        <w:t>十一、</w:t>
      </w:r>
      <w:r>
        <w:rPr>
          <w:rFonts w:hint="eastAsia" w:ascii="仿宋" w:hAnsi="仿宋" w:eastAsia="仿宋"/>
          <w:bCs w:val="0"/>
          <w:color w:val="auto"/>
          <w:sz w:val="32"/>
          <w:szCs w:val="32"/>
          <w:highlight w:val="none"/>
        </w:rPr>
        <w:t xml:space="preserve"> 资格证明文件</w:t>
      </w:r>
      <w:bookmarkEnd w:id="26"/>
      <w:bookmarkEnd w:id="27"/>
    </w:p>
    <w:p>
      <w:pPr>
        <w:spacing w:line="400" w:lineRule="exact"/>
        <w:jc w:val="center"/>
        <w:rPr>
          <w:rFonts w:ascii="仿宋" w:hAnsi="仿宋" w:eastAsia="仿宋"/>
          <w:color w:val="auto"/>
          <w:highlight w:val="none"/>
        </w:rPr>
      </w:pPr>
    </w:p>
    <w:p>
      <w:pPr>
        <w:pStyle w:val="79"/>
        <w:spacing w:line="400" w:lineRule="exact"/>
        <w:rPr>
          <w:rFonts w:ascii="仿宋" w:hAnsi="仿宋" w:eastAsia="仿宋"/>
          <w:color w:val="auto"/>
          <w:sz w:val="28"/>
          <w:szCs w:val="28"/>
          <w:highlight w:val="none"/>
        </w:rPr>
      </w:pPr>
      <w:r>
        <w:rPr>
          <w:rFonts w:hint="eastAsia" w:ascii="仿宋" w:hAnsi="仿宋" w:eastAsia="仿宋"/>
          <w:color w:val="auto"/>
          <w:highlight w:val="none"/>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8"/>
          <w:szCs w:val="28"/>
          <w:highlight w:val="none"/>
        </w:rPr>
        <w:t>投标人参加本次投标必须提供以下资格证明文件：</w:t>
      </w:r>
    </w:p>
    <w:p>
      <w:pPr>
        <w:pStyle w:val="65"/>
        <w:spacing w:line="420" w:lineRule="exact"/>
        <w:ind w:left="0" w:leftChars="0"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2、具备良好商业信誉的证明材料（可提供承诺函）；</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3、具备健全的财务会计制度的证明材料；｛注：①可提供20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或20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年度经审计的财务报告复印件（包含审计报告和审计报告中所涉及的财务报表和报表附注），②也可提供20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或20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年度供应商内部的财务报表复印件（至少包含资产负债表），③也可提供截至投标文件递交截止日一年内银行出具的资信证明（复印件），④供应商注册时间截至投标文件递交截止日不足一年的，也可提供加盖工商备案主管部门印章的公司章程复印件。｝</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4、具有依法缴纳税收和社会保障资金的良好记录（可提供承诺函）；</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5、具备履行合同所必需的设备和专业技术能力的证明材料（可提供承诺函）；</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6、参加本次招标活动前三年内，在经营活动中没有重大违法违规记录的承诺函（可提供承诺函）；</w:t>
      </w:r>
    </w:p>
    <w:p>
      <w:pPr>
        <w:pStyle w:val="65"/>
        <w:spacing w:line="42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7、参加本次招标活动前三年内，投标人及现任法定代表人、主要负责人无行贿犯罪记录的承诺函（可提供承诺函）；</w:t>
      </w:r>
    </w:p>
    <w:p>
      <w:pPr>
        <w:pStyle w:val="65"/>
        <w:spacing w:line="420" w:lineRule="exact"/>
        <w:ind w:firstLineChars="0"/>
        <w:rPr>
          <w:rFonts w:ascii="仿宋" w:hAnsi="仿宋" w:eastAsia="仿宋" w:cs="宋体"/>
          <w:color w:val="auto"/>
          <w:sz w:val="28"/>
          <w:szCs w:val="28"/>
          <w:highlight w:val="none"/>
        </w:rPr>
      </w:pPr>
      <w:r>
        <w:rPr>
          <w:rFonts w:hint="eastAsia" w:ascii="仿宋" w:hAnsi="仿宋" w:eastAsia="仿宋"/>
          <w:color w:val="auto"/>
          <w:sz w:val="28"/>
          <w:szCs w:val="28"/>
          <w:highlight w:val="none"/>
        </w:rPr>
        <w:t>8、投标人对是否存在受到财政部门或有关部门认定的失信行为（有效期内）以及认定次数进行的承诺函（可提供承诺函）；</w:t>
      </w:r>
    </w:p>
    <w:p>
      <w:pPr>
        <w:pStyle w:val="65"/>
        <w:spacing w:line="420" w:lineRule="exact"/>
        <w:ind w:firstLineChars="0"/>
        <w:rPr>
          <w:rFonts w:ascii="仿宋" w:hAnsi="仿宋" w:eastAsia="仿宋" w:cs="宋体"/>
          <w:color w:val="auto"/>
          <w:sz w:val="28"/>
          <w:szCs w:val="28"/>
          <w:highlight w:val="none"/>
        </w:rPr>
      </w:pPr>
      <w:r>
        <w:rPr>
          <w:rFonts w:ascii="仿宋" w:hAnsi="仿宋" w:eastAsia="仿宋" w:cs="宋体"/>
          <w:color w:val="auto"/>
          <w:sz w:val="28"/>
          <w:szCs w:val="28"/>
          <w:highlight w:val="none"/>
        </w:rPr>
        <w:t>9</w:t>
      </w:r>
      <w:r>
        <w:rPr>
          <w:rFonts w:hint="eastAsia" w:ascii="仿宋" w:hAnsi="仿宋" w:eastAsia="仿宋" w:cs="宋体"/>
          <w:color w:val="auto"/>
          <w:sz w:val="28"/>
          <w:szCs w:val="28"/>
          <w:highlight w:val="none"/>
        </w:rPr>
        <w:t>、投标人须符合《医疗器械监督管理条例》要求并提供</w:t>
      </w:r>
      <w:r>
        <w:rPr>
          <w:rFonts w:hint="eastAsia" w:ascii="仿宋" w:hAnsi="仿宋" w:eastAsia="仿宋" w:cs="仿宋"/>
          <w:color w:val="auto"/>
          <w:sz w:val="28"/>
          <w:szCs w:val="28"/>
          <w:highlight w:val="none"/>
        </w:rPr>
        <w:t>医疗器械生产或</w:t>
      </w:r>
      <w:r>
        <w:rPr>
          <w:rFonts w:hint="eastAsia" w:ascii="仿宋" w:hAnsi="仿宋" w:eastAsia="仿宋" w:cs="宋体"/>
          <w:color w:val="auto"/>
          <w:sz w:val="28"/>
          <w:szCs w:val="28"/>
          <w:highlight w:val="none"/>
        </w:rPr>
        <w:t>经营</w:t>
      </w:r>
      <w:r>
        <w:rPr>
          <w:rFonts w:hint="eastAsia" w:ascii="仿宋" w:hAnsi="仿宋" w:eastAsia="仿宋" w:cs="仿宋"/>
          <w:color w:val="auto"/>
          <w:sz w:val="28"/>
          <w:szCs w:val="28"/>
          <w:highlight w:val="none"/>
        </w:rPr>
        <w:t>企业许可证</w:t>
      </w:r>
      <w:r>
        <w:rPr>
          <w:rFonts w:hint="eastAsia" w:ascii="仿宋" w:hAnsi="仿宋" w:eastAsia="仿宋" w:cs="宋体"/>
          <w:color w:val="auto"/>
          <w:sz w:val="28"/>
          <w:szCs w:val="28"/>
          <w:highlight w:val="none"/>
        </w:rPr>
        <w:t>/经营备案证明材料（提供证明材料）；</w:t>
      </w:r>
    </w:p>
    <w:p>
      <w:pPr>
        <w:pStyle w:val="65"/>
        <w:spacing w:line="420" w:lineRule="exact"/>
        <w:ind w:firstLineChars="0"/>
        <w:rPr>
          <w:rFonts w:ascii="仿宋" w:hAnsi="仿宋" w:eastAsia="仿宋"/>
          <w:color w:val="auto"/>
          <w:sz w:val="28"/>
          <w:szCs w:val="28"/>
          <w:highlight w:val="none"/>
        </w:rPr>
      </w:pPr>
      <w:bookmarkStart w:id="28" w:name="_Hlk126919798"/>
      <w:r>
        <w:rPr>
          <w:rFonts w:hint="eastAsia" w:ascii="仿宋" w:hAnsi="仿宋" w:eastAsia="仿宋"/>
          <w:color w:val="auto"/>
          <w:sz w:val="28"/>
          <w:szCs w:val="28"/>
          <w:highlight w:val="none"/>
        </w:rPr>
        <w:t>1</w:t>
      </w:r>
      <w:r>
        <w:rPr>
          <w:rFonts w:ascii="仿宋" w:hAnsi="仿宋" w:eastAsia="仿宋"/>
          <w:color w:val="auto"/>
          <w:sz w:val="28"/>
          <w:szCs w:val="28"/>
          <w:highlight w:val="none"/>
        </w:rPr>
        <w:t>0</w:t>
      </w:r>
      <w:r>
        <w:rPr>
          <w:rFonts w:hint="eastAsia" w:ascii="仿宋" w:hAnsi="仿宋" w:eastAsia="仿宋"/>
          <w:color w:val="auto"/>
          <w:sz w:val="28"/>
          <w:szCs w:val="28"/>
          <w:highlight w:val="none"/>
        </w:rPr>
        <w:t>、供应商须提供承诺，</w:t>
      </w:r>
      <w:r>
        <w:rPr>
          <w:rFonts w:hint="eastAsia" w:ascii="仿宋" w:hAnsi="仿宋" w:eastAsia="仿宋" w:cs="宋体"/>
          <w:color w:val="auto"/>
          <w:sz w:val="28"/>
          <w:szCs w:val="28"/>
          <w:highlight w:val="none"/>
        </w:rPr>
        <w:t>若配送产品为医疗器械的，产品须符合《医疗器械注册管理办法》要求并具备产品的注册/备案证明材料</w:t>
      </w:r>
      <w:bookmarkEnd w:id="28"/>
      <w:r>
        <w:rPr>
          <w:rFonts w:hint="eastAsia" w:ascii="仿宋" w:hAnsi="仿宋" w:eastAsia="仿宋"/>
          <w:color w:val="auto"/>
          <w:sz w:val="28"/>
          <w:szCs w:val="28"/>
          <w:highlight w:val="none"/>
        </w:rPr>
        <w:t>（可提供承诺函）</w:t>
      </w:r>
      <w:r>
        <w:rPr>
          <w:rFonts w:hint="eastAsia" w:ascii="仿宋" w:hAnsi="仿宋" w:eastAsia="仿宋" w:cs="宋体"/>
          <w:color w:val="auto"/>
          <w:sz w:val="28"/>
          <w:szCs w:val="28"/>
          <w:highlight w:val="none"/>
        </w:rPr>
        <w:t>；</w:t>
      </w:r>
    </w:p>
    <w:p>
      <w:pPr>
        <w:pStyle w:val="65"/>
        <w:spacing w:line="420" w:lineRule="exact"/>
        <w:ind w:firstLineChars="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w:t>
      </w:r>
      <w:r>
        <w:rPr>
          <w:rFonts w:ascii="仿宋" w:hAnsi="仿宋" w:eastAsia="仿宋" w:cs="宋体"/>
          <w:color w:val="auto"/>
          <w:sz w:val="28"/>
          <w:szCs w:val="28"/>
          <w:highlight w:val="none"/>
        </w:rPr>
        <w:t>1</w:t>
      </w:r>
      <w:r>
        <w:rPr>
          <w:rFonts w:hint="eastAsia" w:ascii="仿宋" w:hAnsi="仿宋" w:eastAsia="仿宋" w:cs="宋体"/>
          <w:color w:val="auto"/>
          <w:sz w:val="28"/>
          <w:szCs w:val="28"/>
          <w:highlight w:val="none"/>
        </w:rPr>
        <w:t>、其他类似效力要求相关证明材料：</w:t>
      </w:r>
    </w:p>
    <w:p>
      <w:pPr>
        <w:pStyle w:val="60"/>
        <w:ind w:left="0" w:leftChars="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（1）法定代表人/单位负责人身份证明材料复印件。</w:t>
      </w:r>
    </w:p>
    <w:p>
      <w:pPr>
        <w:pStyle w:val="60"/>
        <w:rPr>
          <w:rFonts w:ascii="仿宋" w:hAnsi="仿宋" w:eastAsia="仿宋"/>
          <w:color w:val="auto"/>
          <w:sz w:val="28"/>
          <w:szCs w:val="28"/>
          <w:highlight w:val="none"/>
        </w:rPr>
      </w:pPr>
      <w:r>
        <w:rPr>
          <w:rFonts w:hint="eastAsia" w:ascii="仿宋" w:hAnsi="仿宋" w:eastAsia="仿宋"/>
          <w:color w:val="auto"/>
          <w:sz w:val="28"/>
          <w:szCs w:val="28"/>
          <w:highlight w:val="none"/>
        </w:rPr>
        <w:t>（2）法定代表人/单位负责人授权代理书原件及代理人身份证明材料复印件（注：①法定代表人/单位负责人授权代理书原件需加盖公章；②如投标文件均由投标人法定代表人/单位负责人签字或</w:t>
      </w:r>
      <w:r>
        <w:rPr>
          <w:rFonts w:ascii="仿宋" w:hAnsi="仿宋" w:eastAsia="仿宋"/>
          <w:color w:val="auto"/>
          <w:sz w:val="28"/>
          <w:szCs w:val="28"/>
          <w:highlight w:val="none"/>
        </w:rPr>
        <w:t>加盖私人印章</w:t>
      </w:r>
      <w:r>
        <w:rPr>
          <w:rFonts w:hint="eastAsia" w:ascii="仿宋" w:hAnsi="仿宋" w:eastAsia="仿宋"/>
          <w:color w:val="auto"/>
          <w:sz w:val="28"/>
          <w:szCs w:val="28"/>
          <w:highlight w:val="none"/>
        </w:rPr>
        <w:t>的且法定代表人/单位负责人本人参与投标的，则可不提供。）。</w:t>
      </w:r>
    </w:p>
    <w:p>
      <w:pPr>
        <w:spacing w:line="400" w:lineRule="exact"/>
        <w:rPr>
          <w:rFonts w:ascii="仿宋" w:hAnsi="仿宋" w:eastAsia="仿宋"/>
          <w:color w:val="auto"/>
          <w:sz w:val="28"/>
          <w:szCs w:val="28"/>
          <w:highlight w:val="none"/>
        </w:rPr>
      </w:pPr>
    </w:p>
    <w:p>
      <w:pPr>
        <w:numPr>
          <w:ilvl w:val="0"/>
          <w:numId w:val="5"/>
        </w:numPr>
        <w:spacing w:line="400" w:lineRule="exact"/>
        <w:jc w:val="center"/>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其他材料</w:t>
      </w: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评分标准中要求提供的资料。</w:t>
      </w: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jc w:val="left"/>
        <w:rPr>
          <w:rFonts w:hint="default"/>
          <w:lang w:val="en-US" w:eastAsia="zh-CN"/>
        </w:rPr>
      </w:pPr>
    </w:p>
    <w:p>
      <w:pPr>
        <w:spacing w:line="400" w:lineRule="exact"/>
        <w:ind w:left="480"/>
        <w:rPr>
          <w:rFonts w:ascii="仿宋" w:hAnsi="仿宋" w:eastAsia="仿宋"/>
          <w:b/>
          <w:color w:val="auto"/>
          <w:sz w:val="28"/>
          <w:szCs w:val="28"/>
          <w:highlight w:val="none"/>
        </w:rPr>
      </w:pPr>
      <w:r>
        <w:rPr>
          <w:rFonts w:hint="eastAsia" w:ascii="仿宋" w:hAnsi="仿宋" w:eastAsia="仿宋"/>
          <w:b/>
          <w:color w:val="auto"/>
          <w:sz w:val="28"/>
          <w:szCs w:val="28"/>
          <w:highlight w:val="none"/>
        </w:rPr>
        <w:t>以上要求投标人提供的资格证明文件复印件必须加盖投标人印章（鲜章）。</w:t>
      </w:r>
    </w:p>
    <w:p>
      <w:pPr>
        <w:spacing w:line="400" w:lineRule="exact"/>
        <w:ind w:firstLine="560" w:firstLineChars="200"/>
        <w:rPr>
          <w:rFonts w:ascii="仿宋" w:hAnsi="仿宋" w:eastAsia="仿宋"/>
          <w:color w:val="auto"/>
          <w:sz w:val="28"/>
          <w:szCs w:val="28"/>
          <w:highlight w:val="none"/>
        </w:rPr>
      </w:pPr>
    </w:p>
    <w:p>
      <w:pPr>
        <w:spacing w:line="400" w:lineRule="exact"/>
        <w:ind w:firstLine="480" w:firstLineChars="200"/>
        <w:rPr>
          <w:rFonts w:ascii="仿宋" w:hAnsi="仿宋" w:eastAsia="仿宋"/>
          <w:color w:val="auto"/>
          <w:sz w:val="24"/>
          <w:highlight w:val="none"/>
        </w:rPr>
      </w:pPr>
    </w:p>
    <w:p>
      <w:pPr>
        <w:spacing w:line="400" w:lineRule="exact"/>
        <w:ind w:firstLine="480" w:firstLineChars="200"/>
        <w:rPr>
          <w:rFonts w:ascii="仿宋" w:hAnsi="仿宋" w:eastAsia="仿宋"/>
          <w:color w:val="auto"/>
          <w:sz w:val="24"/>
          <w:highlight w:val="none"/>
        </w:rPr>
      </w:pPr>
    </w:p>
    <w:p>
      <w:pPr>
        <w:spacing w:line="400" w:lineRule="exact"/>
        <w:ind w:firstLine="480" w:firstLineChars="200"/>
        <w:rPr>
          <w:rFonts w:ascii="仿宋" w:hAnsi="仿宋" w:eastAsia="仿宋"/>
          <w:color w:val="auto"/>
          <w:sz w:val="24"/>
          <w:highlight w:val="none"/>
        </w:rPr>
      </w:pPr>
    </w:p>
    <w:p>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br w:type="page"/>
      </w:r>
    </w:p>
    <w:p>
      <w:pPr>
        <w:pStyle w:val="3"/>
        <w:spacing w:line="360" w:lineRule="auto"/>
        <w:jc w:val="center"/>
        <w:rPr>
          <w:rFonts w:ascii="仿宋" w:hAnsi="仿宋" w:eastAsia="仿宋"/>
          <w:bCs w:val="0"/>
          <w:color w:val="auto"/>
          <w:sz w:val="36"/>
          <w:highlight w:val="none"/>
        </w:rPr>
      </w:pPr>
      <w:bookmarkStart w:id="29" w:name="_Toc217446093"/>
      <w:bookmarkStart w:id="30" w:name="_Toc375898987"/>
      <w:r>
        <w:rPr>
          <w:rFonts w:hint="eastAsia" w:ascii="仿宋" w:hAnsi="仿宋" w:eastAsia="仿宋"/>
          <w:bCs w:val="0"/>
          <w:color w:val="auto"/>
          <w:sz w:val="36"/>
          <w:highlight w:val="none"/>
        </w:rPr>
        <w:t>第</w:t>
      </w:r>
      <w:r>
        <w:rPr>
          <w:rFonts w:hint="eastAsia" w:ascii="仿宋" w:hAnsi="仿宋" w:eastAsia="仿宋"/>
          <w:bCs w:val="0"/>
          <w:color w:val="auto"/>
          <w:sz w:val="36"/>
          <w:highlight w:val="none"/>
          <w:lang w:val="en-US" w:eastAsia="zh-CN"/>
        </w:rPr>
        <w:t>三</w:t>
      </w:r>
      <w:r>
        <w:rPr>
          <w:rFonts w:hint="eastAsia" w:ascii="仿宋" w:hAnsi="仿宋" w:eastAsia="仿宋"/>
          <w:bCs w:val="0"/>
          <w:color w:val="auto"/>
          <w:sz w:val="36"/>
          <w:highlight w:val="none"/>
        </w:rPr>
        <w:t>章 招标项目及要求</w:t>
      </w:r>
      <w:bookmarkEnd w:id="29"/>
      <w:bookmarkEnd w:id="30"/>
    </w:p>
    <w:p>
      <w:pPr>
        <w:spacing w:line="360" w:lineRule="auto"/>
        <w:rPr>
          <w:rFonts w:ascii="仿宋" w:hAnsi="仿宋" w:eastAsia="仿宋"/>
          <w:b/>
          <w:bCs/>
          <w:color w:val="auto"/>
          <w:sz w:val="24"/>
          <w:szCs w:val="24"/>
          <w:highlight w:val="none"/>
        </w:rPr>
      </w:pPr>
      <w:bookmarkStart w:id="31" w:name="_Toc217446094"/>
      <w:bookmarkStart w:id="32" w:name="_Toc217446095"/>
      <w:r>
        <w:rPr>
          <w:rFonts w:hint="eastAsia" w:ascii="仿宋" w:hAnsi="仿宋" w:eastAsia="仿宋"/>
          <w:b/>
          <w:color w:val="auto"/>
          <w:sz w:val="24"/>
          <w:highlight w:val="none"/>
        </w:rPr>
        <w:t>前提：本章中标注“★</w:t>
      </w:r>
      <w:r>
        <w:rPr>
          <w:rFonts w:ascii="仿宋" w:hAnsi="仿宋" w:eastAsia="仿宋"/>
          <w:b/>
          <w:color w:val="auto"/>
          <w:sz w:val="24"/>
          <w:highlight w:val="none"/>
        </w:rPr>
        <w:t>”的条款为本项目的实质性条款，投标人不满足的，将按照无效投标处理。</w:t>
      </w:r>
    </w:p>
    <w:p>
      <w:pPr>
        <w:spacing w:line="360" w:lineRule="auto"/>
        <w:outlineLvl w:val="1"/>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一、项目概述</w:t>
      </w:r>
      <w:bookmarkEnd w:id="31"/>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本项目采购</w:t>
      </w:r>
      <w:r>
        <w:rPr>
          <w:rFonts w:hint="eastAsia" w:ascii="仿宋" w:hAnsi="仿宋" w:eastAsia="仿宋"/>
          <w:color w:val="auto"/>
          <w:sz w:val="28"/>
          <w:szCs w:val="28"/>
          <w:highlight w:val="none"/>
          <w:lang w:val="en-US" w:eastAsia="zh-CN"/>
        </w:rPr>
        <w:t>新增非挂网</w:t>
      </w:r>
      <w:r>
        <w:rPr>
          <w:rFonts w:hint="eastAsia" w:ascii="仿宋" w:hAnsi="仿宋" w:eastAsia="仿宋"/>
          <w:color w:val="auto"/>
          <w:sz w:val="28"/>
          <w:szCs w:val="28"/>
          <w:highlight w:val="none"/>
        </w:rPr>
        <w:t>医用耗材体外诊断试剂配送服务商</w:t>
      </w:r>
      <w:r>
        <w:rPr>
          <w:rFonts w:hint="eastAsia" w:ascii="仿宋" w:hAnsi="仿宋" w:eastAsia="仿宋"/>
          <w:color w:val="auto"/>
          <w:sz w:val="28"/>
          <w:szCs w:val="28"/>
          <w:highlight w:val="none"/>
          <w:lang w:val="en-US" w:eastAsia="zh-CN"/>
        </w:rPr>
        <w:t>一名</w:t>
      </w:r>
      <w:r>
        <w:rPr>
          <w:rFonts w:hint="eastAsia" w:ascii="仿宋" w:hAnsi="仿宋" w:eastAsia="仿宋"/>
          <w:color w:val="auto"/>
          <w:sz w:val="28"/>
          <w:szCs w:val="28"/>
          <w:highlight w:val="none"/>
        </w:rPr>
        <w:t>，负责采购人指定的医用耗材和体外诊断试剂</w:t>
      </w:r>
      <w:r>
        <w:rPr>
          <w:rFonts w:hint="eastAsia" w:ascii="仿宋" w:hAnsi="仿宋" w:eastAsia="仿宋"/>
          <w:color w:val="auto"/>
          <w:sz w:val="28"/>
          <w:szCs w:val="28"/>
          <w:highlight w:val="none"/>
          <w:lang w:val="en-US" w:eastAsia="zh-CN"/>
        </w:rPr>
        <w:t>的</w:t>
      </w:r>
      <w:r>
        <w:rPr>
          <w:rFonts w:hint="eastAsia" w:ascii="仿宋" w:hAnsi="仿宋" w:eastAsia="仿宋"/>
          <w:color w:val="auto"/>
          <w:sz w:val="28"/>
          <w:szCs w:val="28"/>
          <w:highlight w:val="none"/>
        </w:rPr>
        <w:t>配送服务。</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项目清单如下：</w:t>
      </w:r>
    </w:p>
    <w:tbl>
      <w:tblPr>
        <w:tblStyle w:val="32"/>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2095"/>
        <w:gridCol w:w="2685"/>
        <w:gridCol w:w="2070"/>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商品名称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生产厂家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探头清洁液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迈瑞南京生物技术有限公司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CRP清洁液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全自动凝血分析仪洗针液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上海长岛生物技术有限公司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15mL×12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样品杯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Beckman Coulter,Inc.贝克曼库尔特(美国)股份有限公司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2mL/1000个/袋</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一次性使用标本杯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江苏康健医疗用品有限公司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40ml 尿杯(手掀盖)</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一次性使用标本杯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江苏康健医疗用品有限公司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40ml(痰杯手揿盖)</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全自动免疫分析仪使用的采样头(TIP)</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希森美康株式会社SYSMEX CORPORATION</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5000(500×10)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全自动免疫分析仪使用的反应杯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希森美康株式会社SYSMEX CORPORATION</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5000(500×10)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全自动凝血分析仪清洗液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上海长岛生物技术有限公司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全自动凝血分析仪测试杯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北京迈瑞医疗器械有限公司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5盘/5张卡</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冲洗液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四川沃文特生物技术有限公司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5L/桶</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生化分析仪用清洗液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钾电极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电解质模块用</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氯电极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电解质模块用</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钠电极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电解质模块用</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参比电极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电解质模块用</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样本采集管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四川沃文特生物技术有限公司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400支/件</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反应杯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Beckman Coulter,Inc.贝克曼库尔特(美国)股份有限公司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B型钠尿肽(BNP)非定值质控品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四川沃文特生物技术有限公司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生化免疫分析仪用清洗液A</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6×55mL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EH-20系列全自动尿沉渣分析系统清洗液(A液)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苏州迈瑞科技有限公司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5L×2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全自动化学发光免疫分析仪反应杯及废料箱</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CL-6000i 反应杯:5000个 废料箱:9个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一次性使用塑料试管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江苏康健医疗用品有限公司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ø15×100 mm</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EH-20系列全自动尿沉渣分析系统清洗液(B液)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苏州迈瑞科技有限公司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5L×2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0.5-10uI透明吸头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杭州丰盈生物科技有限公司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0.5-10uI 1000个/包</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浓缩管路清洗液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希森美康生物科技(无锡)有限公司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10L×1桶</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探针清洗液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希森美康生物科技(无锡)有限公司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一次性使用冻存管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江苏康健医疗用品有限公司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1.8ml(硅胶垫)</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生化分析仪电解质模块用清洗液(离子选择电极法)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2×100mL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一次性使用塑料试管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江苏康健医疗用品有限公司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Φ12×100mm (500支/盒×18盒/箱)</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同型半胱氨酸非定值质控品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四川沃文特生物技术有限公司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层析柱</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1根/盒</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浓缩清洗液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四川沃文特生物技术有限公司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10mL/支×10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针清洁液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17ml×12瓶/盒</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样品杯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江苏康捷医疗器械有限公司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日立 500个/袋</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胱抑素C非定值质控品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四川沃文特生物技术有限公司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一次性使用抗凝管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江苏康健医疗用品有限公司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塑料试管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江苏新康医疗器械有限公司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10×100 (17000支/件)</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一次性使用离心管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江苏康健医疗用品有限公司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1.5ml (不含抗凝剂)</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光源灯(LAMP)</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适用机型:BS-2000/BS-2200/BS-2000M/BS-2200M/G92000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EH-20系列全自动尿沉渣分析系统清洗液(B液)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5L×2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EH-20系列全自动尿沉渣分析系统清洗液(A液)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5L×2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一次性使用抗凝管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江苏新康医疗器械有限公司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EDTA.K2 0.5ml 喷雾 40-120UL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EH-20系列全自动尿沉渣分析系统清洗液(保养液)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苏州迈瑞科技有限公司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代谢类复合质控品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高值:3×2.0mL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多项目尿液化学分析控制品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上海伊华医学科技有限公司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12瓶/盒(冻干品6瓶、复溶液6瓶)</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果糖胺(FUN)测定试剂盒(比色法)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192ml:R1:4×38ml,R2:2×20ml,校准品(选配):1×1.5ml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样本稀释液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2×30mL/盒</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清洗液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四川沃文特生物技术有限公司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果糖胺(FUN)质控品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一次性使用末梢采血针</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山东连发医用塑胶制品有限公司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扭式   拉筋式(LF-01) 23G</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一次性使用微量采血吸管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保定玉山医疗器械制造有限公司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40ul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正常值凝血质控品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成都协和生物技术有限责任公司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生化分析仪电解质模块尿液测试用定标液(离子选择电极法)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MR Urine Standard 213633 高水平:1×100mL;低水平:1×100mL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质控血清</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英国朗道实验诊断有限公司Randox Laboratories Ltd</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HN1530(货号):20×5mL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代谢类复合质控品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低值:3×2.0mL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生化分析仪电解质模块血清测试用定标液(离子选择电极法)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MR Serum Standard 213632;高水平:1×100mL;低水平:1×100mL.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特种蛋白校准品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脂蛋白(a)[Lp(a)]质控品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低值:2 × 1 mL;高值:2 × 1 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脂蛋白(a)[Lp(a)]校准品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5×1mL 校准品包含a、b、c、d、e五个浓度水平</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质控血清</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英国朗道实验诊断有限公司Randox Laboratories Ltd</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HE1532(货号):20×5mL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校准血清 CAL IBRATION SERUM LEVEL 2(CAL 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Randox Laboratories Ltd. 英国朗道实验诊断有限公司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CAL2350(货号):20×5mL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常规生化复合校准品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α-L-岩藻糖苷酶(AFU)质控品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深圳迈瑞生物医疗电子股份有限公司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规格6:低值:3×1mL,高值:3×1mL</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合计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pPr>
        <w:spacing w:line="360" w:lineRule="auto"/>
        <w:rPr>
          <w:rFonts w:hint="eastAsia" w:ascii="仿宋" w:hAnsi="仿宋" w:eastAsia="仿宋"/>
          <w:color w:val="auto"/>
          <w:sz w:val="18"/>
          <w:szCs w:val="18"/>
          <w:highlight w:val="none"/>
        </w:rPr>
      </w:pPr>
    </w:p>
    <w:bookmarkEnd w:id="21"/>
    <w:p>
      <w:pPr>
        <w:spacing w:line="360" w:lineRule="auto"/>
        <w:outlineLvl w:val="1"/>
        <w:rPr>
          <w:rFonts w:ascii="仿宋" w:hAnsi="仿宋" w:eastAsia="仿宋"/>
          <w:b/>
          <w:bCs/>
          <w:color w:val="auto"/>
          <w:sz w:val="32"/>
          <w:szCs w:val="32"/>
          <w:highlight w:val="none"/>
        </w:rPr>
      </w:pPr>
      <w:bookmarkStart w:id="33" w:name="PO_默认文件内容_43"/>
      <w:r>
        <w:rPr>
          <w:rFonts w:hint="eastAsia" w:ascii="仿宋" w:hAnsi="仿宋" w:eastAsia="仿宋"/>
          <w:b/>
          <w:color w:val="auto"/>
          <w:sz w:val="24"/>
          <w:highlight w:val="none"/>
        </w:rPr>
        <w:t>★</w:t>
      </w:r>
      <w:r>
        <w:rPr>
          <w:rFonts w:hint="eastAsia" w:ascii="仿宋" w:hAnsi="仿宋" w:eastAsia="仿宋"/>
          <w:b/>
          <w:bCs/>
          <w:color w:val="auto"/>
          <w:sz w:val="32"/>
          <w:szCs w:val="32"/>
          <w:highlight w:val="none"/>
        </w:rPr>
        <w:t>二、商务要求</w:t>
      </w:r>
    </w:p>
    <w:p>
      <w:pPr>
        <w:snapToGrid w:val="0"/>
        <w:spacing w:line="560" w:lineRule="exact"/>
        <w:ind w:left="525" w:hanging="527"/>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（一）服务期限</w:t>
      </w:r>
    </w:p>
    <w:p>
      <w:pPr>
        <w:snapToGrid w:val="0"/>
        <w:spacing w:line="56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3年（自签订合同之日起计算）。如遇到国家或省、市级有关管理部门有新的规定或要求时，在签订合同前需按照相关规定执行。</w:t>
      </w:r>
    </w:p>
    <w:p>
      <w:pPr>
        <w:snapToGrid w:val="0"/>
        <w:spacing w:line="560" w:lineRule="exact"/>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（二）服务地点</w:t>
      </w:r>
    </w:p>
    <w:p>
      <w:pPr>
        <w:snapToGrid w:val="0"/>
        <w:spacing w:line="560" w:lineRule="exact"/>
        <w:ind w:left="340" w:leftChars="100"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蓬溪县人民医院采购人指定地点。</w:t>
      </w:r>
    </w:p>
    <w:p>
      <w:pPr>
        <w:snapToGrid w:val="0"/>
        <w:spacing w:line="560" w:lineRule="exact"/>
        <w:ind w:left="525" w:hanging="527"/>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（三）付款方式</w:t>
      </w:r>
    </w:p>
    <w:p>
      <w:pPr>
        <w:snapToGrid w:val="0"/>
        <w:spacing w:line="560" w:lineRule="exact"/>
        <w:ind w:firstLine="560" w:firstLineChars="200"/>
        <w:textAlignment w:val="baseline"/>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中标人</w:t>
      </w:r>
      <w:r>
        <w:rPr>
          <w:rFonts w:hint="eastAsia" w:ascii="仿宋" w:hAnsi="仿宋" w:eastAsia="仿宋"/>
          <w:color w:val="auto"/>
          <w:sz w:val="28"/>
          <w:szCs w:val="28"/>
          <w:highlight w:val="none"/>
        </w:rPr>
        <w:t>完成入库验收</w:t>
      </w:r>
      <w:r>
        <w:rPr>
          <w:rFonts w:hint="eastAsia" w:ascii="仿宋" w:hAnsi="仿宋" w:eastAsia="仿宋" w:cs="仿宋"/>
          <w:color w:val="auto"/>
          <w:sz w:val="28"/>
          <w:szCs w:val="28"/>
          <w:highlight w:val="none"/>
        </w:rPr>
        <w:t>，收到中标人</w:t>
      </w:r>
      <w:r>
        <w:rPr>
          <w:rFonts w:hint="eastAsia" w:ascii="仿宋" w:hAnsi="仿宋" w:eastAsia="仿宋"/>
          <w:color w:val="auto"/>
          <w:sz w:val="28"/>
          <w:szCs w:val="28"/>
          <w:highlight w:val="none"/>
        </w:rPr>
        <w:t>开具</w:t>
      </w:r>
      <w:r>
        <w:rPr>
          <w:rFonts w:hint="eastAsia" w:ascii="仿宋" w:hAnsi="仿宋" w:eastAsia="仿宋" w:cs="仿宋"/>
          <w:color w:val="auto"/>
          <w:sz w:val="28"/>
          <w:szCs w:val="28"/>
          <w:highlight w:val="none"/>
        </w:rPr>
        <w:t>国家税法规定的</w:t>
      </w:r>
      <w:r>
        <w:rPr>
          <w:rFonts w:hint="eastAsia" w:ascii="仿宋" w:hAnsi="仿宋" w:eastAsia="仿宋"/>
          <w:color w:val="auto"/>
          <w:sz w:val="28"/>
          <w:szCs w:val="28"/>
          <w:highlight w:val="none"/>
        </w:rPr>
        <w:t>正规</w:t>
      </w:r>
      <w:r>
        <w:rPr>
          <w:rFonts w:hint="eastAsia" w:ascii="仿宋" w:hAnsi="仿宋" w:eastAsia="仿宋" w:cs="仿宋"/>
          <w:color w:val="auto"/>
          <w:sz w:val="28"/>
          <w:szCs w:val="28"/>
          <w:highlight w:val="none"/>
        </w:rPr>
        <w:t>、有效税务</w:t>
      </w:r>
      <w:r>
        <w:rPr>
          <w:rFonts w:hint="eastAsia" w:ascii="仿宋" w:hAnsi="仿宋" w:eastAsia="仿宋"/>
          <w:color w:val="auto"/>
          <w:sz w:val="28"/>
          <w:szCs w:val="28"/>
          <w:highlight w:val="none"/>
        </w:rPr>
        <w:t>发票</w:t>
      </w:r>
      <w:r>
        <w:rPr>
          <w:rFonts w:hint="eastAsia" w:ascii="仿宋" w:hAnsi="仿宋" w:eastAsia="仿宋" w:cs="仿宋"/>
          <w:color w:val="auto"/>
          <w:sz w:val="28"/>
          <w:szCs w:val="28"/>
          <w:highlight w:val="none"/>
        </w:rPr>
        <w:t>并</w:t>
      </w:r>
      <w:r>
        <w:rPr>
          <w:rFonts w:hint="eastAsia" w:ascii="仿宋" w:hAnsi="仿宋" w:eastAsia="仿宋"/>
          <w:color w:val="auto"/>
          <w:sz w:val="28"/>
          <w:szCs w:val="28"/>
          <w:highlight w:val="none"/>
        </w:rPr>
        <w:t>完善入账手续后</w:t>
      </w:r>
      <w:r>
        <w:rPr>
          <w:rFonts w:hint="eastAsia" w:ascii="仿宋" w:hAnsi="仿宋" w:eastAsia="仿宋" w:cs="仿宋"/>
          <w:color w:val="auto"/>
          <w:sz w:val="28"/>
          <w:szCs w:val="28"/>
          <w:highlight w:val="none"/>
        </w:rPr>
        <w:t>，</w:t>
      </w:r>
      <w:r>
        <w:rPr>
          <w:rFonts w:hint="eastAsia" w:ascii="仿宋" w:hAnsi="仿宋" w:eastAsia="仿宋"/>
          <w:color w:val="auto"/>
          <w:sz w:val="28"/>
          <w:szCs w:val="28"/>
          <w:highlight w:val="none"/>
        </w:rPr>
        <w:t>按招标人统一计划</w:t>
      </w:r>
      <w:r>
        <w:rPr>
          <w:rFonts w:hint="eastAsia" w:ascii="仿宋" w:hAnsi="仿宋" w:eastAsia="仿宋" w:cs="仿宋"/>
          <w:color w:val="auto"/>
          <w:sz w:val="28"/>
          <w:szCs w:val="28"/>
          <w:highlight w:val="none"/>
        </w:rPr>
        <w:t>支付相关货款。</w:t>
      </w:r>
    </w:p>
    <w:p>
      <w:pPr>
        <w:snapToGrid w:val="0"/>
        <w:spacing w:line="560" w:lineRule="exact"/>
        <w:ind w:firstLine="560" w:firstLineChars="200"/>
        <w:textAlignment w:val="baseline"/>
        <w:rPr>
          <w:rFonts w:ascii="仿宋" w:hAnsi="仿宋" w:eastAsia="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中标人须严格执行</w:t>
      </w:r>
      <w:r>
        <w:rPr>
          <w:rFonts w:ascii="仿宋" w:hAnsi="仿宋" w:eastAsia="仿宋" w:cs="仿宋"/>
          <w:color w:val="auto"/>
          <w:sz w:val="28"/>
          <w:szCs w:val="28"/>
          <w:highlight w:val="none"/>
          <w:shd w:val="clear" w:color="auto" w:fill="FFFFFF"/>
        </w:rPr>
        <w:t>《关于印发四川省药品和医用耗材集中采购货款在线结算管理暂行办法的通知》（川医保规〔2020〕9号），做好相关在线结算工作</w:t>
      </w:r>
      <w:r>
        <w:rPr>
          <w:rFonts w:hint="eastAsia" w:ascii="仿宋" w:hAnsi="仿宋" w:eastAsia="仿宋"/>
          <w:color w:val="auto"/>
          <w:sz w:val="28"/>
          <w:szCs w:val="28"/>
          <w:highlight w:val="none"/>
        </w:rPr>
        <w:t>。</w:t>
      </w:r>
    </w:p>
    <w:p>
      <w:pPr>
        <w:snapToGrid w:val="0"/>
        <w:spacing w:line="560" w:lineRule="exact"/>
        <w:ind w:left="525" w:hanging="527"/>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（四）后续服务</w:t>
      </w:r>
    </w:p>
    <w:p>
      <w:pPr>
        <w:snapToGrid w:val="0"/>
        <w:spacing w:line="56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在采购人需要时，供应商负责在采购人指定地点为所供产品的临床应用进行现场讲解或培训。若采购人在使用货物的过程中发现问题，供应商应及时进行现场解决。</w:t>
      </w:r>
    </w:p>
    <w:p>
      <w:pPr>
        <w:snapToGrid w:val="0"/>
        <w:spacing w:line="560" w:lineRule="exact"/>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（五）验收要求</w:t>
      </w:r>
    </w:p>
    <w:p>
      <w:pPr>
        <w:snapToGrid w:val="0"/>
        <w:spacing w:line="56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配送产品到达履约地点后，招标人将对配送产品的证书（产品注册证/一类产品备案凭证、生产企业许可证、经营企业许可证、营业执照）资质、票据、质量合格证明、中文说明书及加盖经营企业鲜章的复印件等信息进行查验，对查验信息不符的产品，招标人有权拒绝接收。</w:t>
      </w:r>
    </w:p>
    <w:p>
      <w:pPr>
        <w:snapToGrid w:val="0"/>
        <w:spacing w:line="560" w:lineRule="exact"/>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（六）配送服务考核</w:t>
      </w:r>
    </w:p>
    <w:p>
      <w:pPr>
        <w:snapToGrid w:val="0"/>
        <w:spacing w:line="560" w:lineRule="exact"/>
        <w:ind w:firstLine="560" w:firstLineChars="200"/>
        <w:textAlignment w:val="baseline"/>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中标人须无条件配合招标人接受上级主管部门等的各类检查，且积极配合和接受招标人相关科室管理和配送服务工作考核；（考核标准详见“蓬溪人民医院供应商评价考核表”）</w:t>
      </w:r>
    </w:p>
    <w:p>
      <w:pPr>
        <w:pStyle w:val="2"/>
      </w:pPr>
    </w:p>
    <w:tbl>
      <w:tblPr>
        <w:tblStyle w:val="32"/>
        <w:tblW w:w="94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1"/>
        <w:gridCol w:w="1229"/>
        <w:gridCol w:w="6376"/>
        <w:gridCol w:w="480"/>
        <w:gridCol w:w="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62"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b/>
                <w:bCs/>
                <w:color w:val="auto"/>
                <w:sz w:val="21"/>
                <w:szCs w:val="21"/>
                <w:highlight w:val="none"/>
              </w:rPr>
            </w:pPr>
            <w:r>
              <w:rPr>
                <w:rFonts w:hint="eastAsia" w:ascii="仿宋" w:hAnsi="仿宋" w:eastAsia="仿宋" w:cs="宋体"/>
                <w:b/>
                <w:color w:val="auto"/>
                <w:sz w:val="21"/>
                <w:szCs w:val="21"/>
                <w:highlight w:val="none"/>
              </w:rPr>
              <w:t>蓬溪人民医院供应商评价考核表（本表格内容投标人知晓不用应答）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考核</w:t>
            </w:r>
          </w:p>
          <w:p>
            <w:pPr>
              <w:widowControl/>
              <w:spacing w:before="100" w:beforeAutospacing="1" w:after="100" w:afterAutospacing="1"/>
              <w:jc w:val="center"/>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项目</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考核内容</w:t>
            </w:r>
          </w:p>
        </w:tc>
        <w:tc>
          <w:tcPr>
            <w:tcW w:w="63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考核方法</w:t>
            </w: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医院考评</w:t>
            </w:r>
          </w:p>
        </w:tc>
        <w:tc>
          <w:tcPr>
            <w:tcW w:w="4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仿宋" w:hAnsi="仿宋" w:eastAsia="仿宋" w:cs="宋体"/>
                <w:color w:val="auto"/>
                <w:sz w:val="21"/>
                <w:szCs w:val="21"/>
                <w:highlight w:val="none"/>
              </w:rPr>
            </w:pPr>
            <w:r>
              <w:rPr>
                <w:rFonts w:hint="eastAsia" w:ascii="仿宋" w:hAnsi="仿宋" w:eastAsia="仿宋"/>
                <w:b/>
                <w:bCs/>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产品质量（30分）</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产品标准</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所有耗材符合并不低于医院现用产品的品质，否则发现一例</w:t>
            </w:r>
            <w:r>
              <w:rPr>
                <w:rFonts w:hint="eastAsia" w:ascii="仿宋" w:hAnsi="仿宋" w:eastAsia="仿宋"/>
                <w:color w:val="auto"/>
                <w:sz w:val="21"/>
                <w:szCs w:val="21"/>
                <w:highlight w:val="none"/>
              </w:rPr>
              <w:t>扣5分。配送不合格产品（包括无证，过期、假冒伪劣等），发现一次则列入供应商“黑名单”，予以警告，并扣5分。因此引发不良后果或医疗事故、纠纷的，供应商承担全部经济和法律责任。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产品包装</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产品送到医院时，应包装完好，每发现一件产品包装损坏，扣3分。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产品标识</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进口产品应贴中文标签（包括产地、品牌、规格型号、注册证号、有效期等）：国产产品应按国家标准进行标识（包括生产商、品牌、规格型号、注册证号、有效期等）。每发现一批产品未按照规范标识，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产品注册证</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应提供有效、合法的注册证，如已换发新注册证，而旧注册证仍然有效，必须保证所提供产品与医院备案的产品注册证相符，供应商不及时更新注册证的，发现一次扣5分，因此引发不良后果或医疗纠纷的，供应商承担全部经济和法律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产品有效期</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应提供近效期一年以上的产品</w:t>
            </w:r>
            <w:r>
              <w:rPr>
                <w:rFonts w:hint="eastAsia" w:ascii="仿宋" w:hAnsi="仿宋" w:eastAsia="仿宋" w:cs="宋体"/>
                <w:color w:val="auto"/>
                <w:sz w:val="21"/>
                <w:szCs w:val="21"/>
                <w:highlight w:val="none"/>
              </w:rPr>
              <w:t>（法定效期不足一年的特殊品种除外）</w:t>
            </w:r>
            <w:r>
              <w:rPr>
                <w:rFonts w:hint="eastAsia" w:ascii="仿宋" w:hAnsi="仿宋" w:eastAsia="仿宋"/>
                <w:color w:val="auto"/>
                <w:sz w:val="21"/>
                <w:szCs w:val="21"/>
                <w:highlight w:val="none"/>
              </w:rPr>
              <w:t>，如有违反，每发现一项扣5分。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履行合同</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须严格按照医院及合同要求配送产品，不履行合同的情况，每发现一次，扣5分。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不良反应</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因产品质量问题发生不良反应，每发生一起扣5-10分；因此引发不良后果或医疗事故纠纷的，供应商承担全部经济和法律责任。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产品价格（20分）</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产品价格合理</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供货产品价格不高于省药械阳光平台上月末</w:t>
            </w:r>
            <w:r>
              <w:rPr>
                <w:rFonts w:hint="eastAsia" w:ascii="仿宋" w:hAnsi="仿宋" w:eastAsia="仿宋" w:cs="宋体"/>
                <w:color w:val="auto"/>
                <w:sz w:val="21"/>
                <w:szCs w:val="21"/>
                <w:highlight w:val="none"/>
              </w:rPr>
              <w:t>加权平均价</w:t>
            </w:r>
            <w:r>
              <w:rPr>
                <w:rFonts w:hint="eastAsia" w:ascii="仿宋" w:hAnsi="仿宋" w:eastAsia="仿宋"/>
                <w:color w:val="auto"/>
                <w:sz w:val="21"/>
                <w:szCs w:val="21"/>
                <w:highlight w:val="none"/>
              </w:rPr>
              <w:t>，如果发现价格虚高的情况，每发现一次，扣3分。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产品价格稳定</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企业对市场价格波动有一定的消化能力。产品在一个</w:t>
            </w:r>
            <w:r>
              <w:rPr>
                <w:rFonts w:hint="eastAsia" w:ascii="仿宋" w:hAnsi="仿宋" w:eastAsia="仿宋" w:cs="宋体"/>
                <w:color w:val="auto"/>
                <w:sz w:val="21"/>
                <w:szCs w:val="21"/>
                <w:highlight w:val="none"/>
              </w:rPr>
              <w:t>考核周期</w:t>
            </w:r>
            <w:r>
              <w:rPr>
                <w:rFonts w:hint="eastAsia" w:ascii="仿宋" w:hAnsi="仿宋" w:eastAsia="仿宋"/>
                <w:color w:val="auto"/>
                <w:sz w:val="21"/>
                <w:szCs w:val="21"/>
                <w:highlight w:val="none"/>
              </w:rPr>
              <w:t>内</w:t>
            </w:r>
            <w:r>
              <w:rPr>
                <w:rFonts w:hint="eastAsia" w:ascii="仿宋" w:hAnsi="仿宋" w:eastAsia="仿宋" w:cs="宋体"/>
                <w:color w:val="auto"/>
                <w:sz w:val="21"/>
                <w:szCs w:val="21"/>
                <w:highlight w:val="none"/>
              </w:rPr>
              <w:t>（供货周期）</w:t>
            </w:r>
            <w:r>
              <w:rPr>
                <w:rFonts w:hint="eastAsia" w:ascii="仿宋" w:hAnsi="仿宋" w:eastAsia="仿宋"/>
                <w:color w:val="auto"/>
                <w:sz w:val="21"/>
                <w:szCs w:val="21"/>
                <w:highlight w:val="none"/>
              </w:rPr>
              <w:t>原则上不能再变更价格，特殊情况需向医院申请，经审核批准后方可进行调价。</w:t>
            </w:r>
            <w:r>
              <w:rPr>
                <w:rFonts w:hint="eastAsia" w:ascii="仿宋" w:hAnsi="仿宋" w:eastAsia="仿宋" w:cs="宋体"/>
                <w:color w:val="auto"/>
                <w:sz w:val="21"/>
                <w:szCs w:val="21"/>
                <w:highlight w:val="none"/>
              </w:rPr>
              <w:t>违反价格波动一次扣2分。每</w:t>
            </w:r>
            <w:r>
              <w:rPr>
                <w:rFonts w:hint="eastAsia" w:ascii="仿宋" w:hAnsi="仿宋" w:eastAsia="仿宋"/>
                <w:color w:val="auto"/>
                <w:sz w:val="21"/>
                <w:szCs w:val="21"/>
                <w:highlight w:val="none"/>
              </w:rPr>
              <w:t>发生一例违规涨价扣10分。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挂网确认及时性</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医院的在阳光采购网上价格及配送要求能在1个工作日内响应，3个工作日内完成。每发生一例延迟扣5分。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供货能力（20分）</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供货方式</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直接送货到医院</w:t>
            </w:r>
            <w:r>
              <w:rPr>
                <w:rFonts w:hint="eastAsia" w:ascii="仿宋" w:hAnsi="仿宋" w:eastAsia="仿宋" w:cs="宋体"/>
                <w:color w:val="auto"/>
                <w:sz w:val="21"/>
                <w:szCs w:val="21"/>
                <w:highlight w:val="none"/>
              </w:rPr>
              <w:t>指定地点</w:t>
            </w:r>
            <w:r>
              <w:rPr>
                <w:rFonts w:hint="eastAsia" w:ascii="仿宋" w:hAnsi="仿宋" w:eastAsia="仿宋"/>
                <w:color w:val="auto"/>
                <w:sz w:val="21"/>
                <w:szCs w:val="21"/>
                <w:highlight w:val="none"/>
              </w:rPr>
              <w:t>。特殊情况以医院需求为准，每违反一次扣3分。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销售单据</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货到能同时提供检测报告、销售清单</w:t>
            </w:r>
            <w:r>
              <w:rPr>
                <w:rFonts w:hint="eastAsia" w:ascii="仿宋" w:hAnsi="仿宋" w:eastAsia="仿宋"/>
                <w:color w:val="auto"/>
                <w:sz w:val="21"/>
                <w:szCs w:val="21"/>
                <w:highlight w:val="none"/>
              </w:rPr>
              <w:t>等单据，销售单据与供货产品</w:t>
            </w:r>
            <w:r>
              <w:rPr>
                <w:rFonts w:hint="eastAsia" w:ascii="仿宋" w:hAnsi="仿宋" w:eastAsia="仿宋" w:cs="宋体"/>
                <w:color w:val="auto"/>
                <w:sz w:val="21"/>
                <w:szCs w:val="21"/>
                <w:highlight w:val="none"/>
              </w:rPr>
              <w:t>应</w:t>
            </w:r>
            <w:r>
              <w:rPr>
                <w:rFonts w:hint="eastAsia" w:ascii="仿宋" w:hAnsi="仿宋" w:eastAsia="仿宋"/>
                <w:color w:val="auto"/>
                <w:sz w:val="21"/>
                <w:szCs w:val="21"/>
                <w:highlight w:val="none"/>
              </w:rPr>
              <w:t>一致。凡有违反，每发生一次扣3分。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供货及时准确性</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按医院订货要求及时、准确送货，如有违反，每发生一次扣3分。严重更影响临床工作的，一次扣10分，并承担相应责任。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售后服务（15分）</w:t>
            </w: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产品证照</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主动更新产品证件。</w:t>
            </w:r>
            <w:r>
              <w:rPr>
                <w:rFonts w:hint="eastAsia" w:ascii="仿宋" w:hAnsi="仿宋" w:eastAsia="仿宋"/>
                <w:color w:val="auto"/>
                <w:sz w:val="21"/>
                <w:szCs w:val="21"/>
                <w:highlight w:val="none"/>
              </w:rPr>
              <w:t>证件过期未及时更换的，一次扣3分。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处理科室投诉</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接到医院投诉或反馈后积极处理。</w:t>
            </w:r>
            <w:r>
              <w:rPr>
                <w:rFonts w:hint="eastAsia" w:ascii="仿宋" w:hAnsi="仿宋" w:eastAsia="仿宋"/>
                <w:color w:val="auto"/>
                <w:sz w:val="21"/>
                <w:szCs w:val="21"/>
                <w:highlight w:val="none"/>
              </w:rPr>
              <w:t>消极推诿不处理的，每发生一次，扣3分；如果因此影响临床工作的，一次扣5分，并承担相应责任。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及时更换不合格产品</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在验收或使用环节，发现产品包装或质量问题的，供应商应无条件更换。如果不及时处理，一次扣3分，并承担相应责任。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售后培训</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供应商应积极主动培训临床工作人员，如果因培训不到位造成相应后果，一次扣3分，并承担相应责任。</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售后服务</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服从医院及科室管理，提供专业有效配套工</w:t>
            </w:r>
            <w:r>
              <w:rPr>
                <w:rFonts w:hint="eastAsia" w:ascii="仿宋" w:hAnsi="仿宋" w:eastAsia="仿宋" w:cs="宋体"/>
                <w:color w:val="auto"/>
                <w:sz w:val="21"/>
                <w:szCs w:val="21"/>
                <w:highlight w:val="none"/>
              </w:rPr>
              <w:t>具，器械材料近效期三个月的退换货，对订单、交货质量投诉及时完整回</w:t>
            </w:r>
            <w:r>
              <w:rPr>
                <w:rFonts w:hint="eastAsia" w:ascii="仿宋" w:hAnsi="仿宋" w:eastAsia="仿宋"/>
                <w:color w:val="auto"/>
                <w:sz w:val="21"/>
                <w:szCs w:val="21"/>
                <w:highlight w:val="none"/>
              </w:rPr>
              <w:t>复能整体理解并满足医院的要求，器械材料近效期三个月的退换货。有专人负责售后服务，无专人负责或因售后服务不到位导致投诉或差评，一次扣3分。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增值服务</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按双方合同约定提供增值服务。达不到医院要求的一次扣4分。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信誉度  （5分）</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ascii="仿宋" w:hAnsi="仿宋" w:eastAsia="仿宋"/>
                <w:color w:val="auto"/>
                <w:sz w:val="21"/>
                <w:szCs w:val="21"/>
                <w:highlight w:val="none"/>
              </w:rPr>
              <w:t>“不良事件”记录</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凡因产品发生“不良事件”被记录在案的，一次扣5分。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变更企业名称</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在合同期内，随意变更企业名称的，一次扣5分。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廉政建设（10分）</w:t>
            </w: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企业诚信</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诚信经营，规范销售。乙方相关部门及代表接受过系统培训，杜绝不良行为的发生。</w:t>
            </w:r>
            <w:r>
              <w:rPr>
                <w:rFonts w:hint="eastAsia" w:ascii="仿宋" w:hAnsi="仿宋" w:eastAsia="仿宋" w:cs="宋体"/>
                <w:color w:val="auto"/>
                <w:sz w:val="21"/>
                <w:szCs w:val="21"/>
                <w:highlight w:val="none"/>
              </w:rPr>
              <w:t>发现并核实一次不规范行为扣5分。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廉政协议</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与医院签订廉政协议并能够严格遵守。达不到的扣3分。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廉政监察</w:t>
            </w:r>
          </w:p>
        </w:tc>
        <w:tc>
          <w:tcPr>
            <w:tcW w:w="637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无条件接受医院及院外纪检监察部门的检查及监督，发现并核实公司有向临床科室兜售产品给予各种形式商业贿赂等不良行为的，立即进入“黑名单”，并停止一切合作，按双方约定处理。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奖励    （10分）</w:t>
            </w:r>
          </w:p>
        </w:tc>
        <w:tc>
          <w:tcPr>
            <w:tcW w:w="7605" w:type="dxa"/>
            <w:gridSpan w:val="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诚信守法经营，公司内部严格管理，销售行为规范，信誉良好，有一定的社会责任感。在合同期内无不良记录，积极配合医院的管理要求和临床需要，能配合医院完成特殊任务要求，在供货过程中提出合理化建议，有以上良好行为者，可适当予以奖励，最高可奖励10分。</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center"/>
              <w:rPr>
                <w:rFonts w:ascii="仿宋" w:hAnsi="仿宋" w:eastAsia="仿宋" w:cs="宋体"/>
                <w:color w:val="auto"/>
                <w:sz w:val="21"/>
                <w:szCs w:val="21"/>
                <w:highlight w:val="none"/>
              </w:rPr>
            </w:pPr>
            <w:r>
              <w:rPr>
                <w:rFonts w:hint="eastAsia" w:ascii="仿宋" w:hAnsi="仿宋" w:eastAsia="仿宋"/>
                <w:color w:val="auto"/>
                <w:sz w:val="21"/>
                <w:szCs w:val="21"/>
                <w:highlight w:val="none"/>
              </w:rPr>
              <w:t>总分</w:t>
            </w:r>
          </w:p>
        </w:tc>
        <w:tc>
          <w:tcPr>
            <w:tcW w:w="760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left"/>
              <w:rPr>
                <w:rFonts w:ascii="仿宋" w:hAnsi="仿宋" w:eastAsia="仿宋" w:cs="宋体"/>
                <w:color w:val="auto"/>
                <w:sz w:val="21"/>
                <w:szCs w:val="21"/>
                <w:highlight w:val="none"/>
              </w:rPr>
            </w:pPr>
            <w:r>
              <w:rPr>
                <w:rFonts w:hint="eastAsia" w:ascii="仿宋" w:hAnsi="仿宋" w:eastAsia="仿宋"/>
                <w:color w:val="auto"/>
                <w:sz w:val="21"/>
                <w:szCs w:val="21"/>
                <w:highlight w:val="none"/>
              </w:rPr>
              <w:t>评价结果为：</w:t>
            </w:r>
          </w:p>
        </w:tc>
        <w:tc>
          <w:tcPr>
            <w:tcW w:w="48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c>
          <w:tcPr>
            <w:tcW w:w="4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rFonts w:ascii="仿宋" w:hAnsi="仿宋" w:eastAsia="仿宋" w:cs="宋体"/>
                <w:color w:val="auto"/>
                <w:sz w:val="21"/>
                <w:szCs w:val="21"/>
                <w:highlight w:val="none"/>
              </w:rPr>
            </w:pPr>
            <w:r>
              <w:rPr>
                <w:rFonts w:ascii="Calibri" w:hAnsi="Calibri" w:eastAsia="仿宋" w:cs="Calibri"/>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62"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说明 ：</w:t>
            </w:r>
          </w:p>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一、考核方法：每</w:t>
            </w:r>
            <w:r>
              <w:rPr>
                <w:rFonts w:hint="eastAsia" w:ascii="仿宋" w:hAnsi="仿宋" w:eastAsia="仿宋" w:cs="宋体"/>
                <w:color w:val="auto"/>
                <w:sz w:val="21"/>
                <w:szCs w:val="21"/>
                <w:highlight w:val="none"/>
              </w:rPr>
              <w:t>季</w:t>
            </w:r>
            <w:r>
              <w:rPr>
                <w:rFonts w:hint="eastAsia" w:ascii="仿宋" w:hAnsi="仿宋" w:eastAsia="仿宋"/>
                <w:color w:val="auto"/>
                <w:sz w:val="21"/>
                <w:szCs w:val="21"/>
                <w:highlight w:val="none"/>
              </w:rPr>
              <w:t>最后一周由设备科考核产品质量、产品价格、供货能力，临床科室考核售后服务，纪检部门和设备科联合考核信誉度、奖励，设备科完成汇总。</w:t>
            </w:r>
          </w:p>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hint="eastAsia" w:ascii="仿宋" w:hAnsi="仿宋" w:eastAsia="仿宋"/>
                <w:color w:val="auto"/>
                <w:sz w:val="21"/>
                <w:szCs w:val="21"/>
                <w:highlight w:val="none"/>
              </w:rPr>
              <w:t xml:space="preserve">二、考核结果使用: </w:t>
            </w:r>
          </w:p>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ascii="仿宋" w:hAnsi="仿宋" w:eastAsia="仿宋"/>
                <w:color w:val="auto"/>
                <w:sz w:val="21"/>
                <w:szCs w:val="21"/>
                <w:highlight w:val="none"/>
              </w:rPr>
              <w:t>1</w:t>
            </w:r>
            <w:r>
              <w:rPr>
                <w:rFonts w:hint="eastAsia" w:ascii="仿宋" w:hAnsi="仿宋" w:eastAsia="仿宋" w:cs="宋体"/>
                <w:color w:val="auto"/>
                <w:sz w:val="21"/>
                <w:szCs w:val="21"/>
                <w:highlight w:val="none"/>
              </w:rPr>
              <w:t>、当季</w:t>
            </w:r>
            <w:r>
              <w:rPr>
                <w:rFonts w:hint="eastAsia" w:ascii="仿宋" w:hAnsi="仿宋" w:eastAsia="仿宋"/>
                <w:color w:val="auto"/>
                <w:sz w:val="21"/>
                <w:szCs w:val="21"/>
                <w:highlight w:val="none"/>
              </w:rPr>
              <w:t>考核分数小于60分或出现廉政建设考评内容里规定的情形时</w:t>
            </w:r>
            <w:r>
              <w:rPr>
                <w:rFonts w:hint="eastAsia" w:ascii="仿宋" w:hAnsi="仿宋" w:eastAsia="仿宋" w:cs="宋体"/>
                <w:color w:val="auto"/>
                <w:sz w:val="21"/>
                <w:szCs w:val="21"/>
                <w:highlight w:val="none"/>
              </w:rPr>
              <w:t>一票否决，立即终止合同</w:t>
            </w:r>
            <w:r>
              <w:rPr>
                <w:rFonts w:hint="eastAsia" w:ascii="仿宋" w:hAnsi="仿宋" w:eastAsia="仿宋"/>
                <w:color w:val="auto"/>
                <w:sz w:val="21"/>
                <w:szCs w:val="21"/>
                <w:highlight w:val="none"/>
              </w:rPr>
              <w:t>。</w:t>
            </w:r>
          </w:p>
          <w:p>
            <w:pPr>
              <w:widowControl/>
              <w:shd w:val="clear" w:color="auto" w:fill="FFFFFF"/>
              <w:spacing w:before="100" w:beforeAutospacing="1" w:after="100" w:afterAutospacing="1" w:line="340" w:lineRule="exact"/>
              <w:rPr>
                <w:rFonts w:ascii="仿宋" w:hAnsi="仿宋" w:eastAsia="仿宋" w:cs="宋体"/>
                <w:color w:val="auto"/>
                <w:sz w:val="21"/>
                <w:szCs w:val="21"/>
                <w:highlight w:val="none"/>
              </w:rPr>
            </w:pPr>
            <w:r>
              <w:rPr>
                <w:rFonts w:ascii="仿宋" w:hAnsi="仿宋" w:eastAsia="仿宋"/>
                <w:color w:val="auto"/>
                <w:sz w:val="21"/>
                <w:szCs w:val="21"/>
                <w:highlight w:val="none"/>
              </w:rPr>
              <w:t xml:space="preserve">2 </w:t>
            </w:r>
            <w:r>
              <w:rPr>
                <w:rFonts w:hint="eastAsia" w:ascii="仿宋" w:hAnsi="仿宋" w:eastAsia="仿宋" w:cs="宋体"/>
                <w:color w:val="auto"/>
                <w:sz w:val="21"/>
                <w:szCs w:val="21"/>
                <w:highlight w:val="none"/>
              </w:rPr>
              <w:t>、</w:t>
            </w:r>
            <w:r>
              <w:rPr>
                <w:rFonts w:hint="eastAsia" w:ascii="仿宋" w:hAnsi="仿宋" w:eastAsia="仿宋"/>
                <w:color w:val="auto"/>
                <w:sz w:val="21"/>
                <w:szCs w:val="21"/>
                <w:highlight w:val="none"/>
              </w:rPr>
              <w:t>考评分为大于60分小于80</w:t>
            </w:r>
            <w:r>
              <w:rPr>
                <w:rFonts w:hint="eastAsia" w:ascii="仿宋" w:hAnsi="仿宋" w:eastAsia="仿宋" w:cs="宋体"/>
                <w:color w:val="auto"/>
                <w:sz w:val="21"/>
                <w:szCs w:val="21"/>
                <w:highlight w:val="none"/>
              </w:rPr>
              <w:t>分时则限期（一季度）整改，出现</w:t>
            </w:r>
            <w:r>
              <w:rPr>
                <w:rFonts w:hint="eastAsia" w:ascii="仿宋" w:hAnsi="仿宋" w:eastAsia="仿宋"/>
                <w:color w:val="auto"/>
                <w:sz w:val="21"/>
                <w:szCs w:val="21"/>
                <w:highlight w:val="none"/>
              </w:rPr>
              <w:t>连续3次整改</w:t>
            </w:r>
            <w:r>
              <w:rPr>
                <w:rFonts w:hint="eastAsia" w:ascii="仿宋" w:hAnsi="仿宋" w:eastAsia="仿宋" w:cs="宋体"/>
                <w:color w:val="auto"/>
                <w:sz w:val="21"/>
                <w:szCs w:val="21"/>
                <w:highlight w:val="none"/>
              </w:rPr>
              <w:t>的</w:t>
            </w:r>
            <w:r>
              <w:rPr>
                <w:rFonts w:hint="eastAsia" w:ascii="仿宋" w:hAnsi="仿宋" w:eastAsia="仿宋"/>
                <w:color w:val="auto"/>
                <w:sz w:val="21"/>
                <w:szCs w:val="21"/>
                <w:highlight w:val="none"/>
              </w:rPr>
              <w:t>情形时，则终止合</w:t>
            </w:r>
            <w:r>
              <w:rPr>
                <w:rFonts w:hint="eastAsia" w:ascii="仿宋" w:hAnsi="仿宋" w:eastAsia="仿宋" w:cs="宋体"/>
                <w:color w:val="auto"/>
                <w:sz w:val="21"/>
                <w:szCs w:val="21"/>
                <w:highlight w:val="none"/>
              </w:rPr>
              <w:t>同</w:t>
            </w:r>
            <w:r>
              <w:rPr>
                <w:rFonts w:hint="eastAsia" w:ascii="仿宋" w:hAnsi="仿宋" w:eastAsia="仿宋"/>
                <w:color w:val="auto"/>
                <w:sz w:val="21"/>
                <w:szCs w:val="21"/>
                <w:highlight w:val="none"/>
              </w:rPr>
              <w:t>。</w:t>
            </w:r>
          </w:p>
          <w:p>
            <w:pPr>
              <w:widowControl/>
              <w:shd w:val="clear" w:color="auto" w:fill="FFFFFF"/>
              <w:spacing w:before="100" w:beforeAutospacing="1" w:after="100" w:afterAutospacing="1"/>
              <w:rPr>
                <w:rFonts w:ascii="仿宋" w:hAnsi="仿宋" w:eastAsia="仿宋"/>
                <w:color w:val="auto"/>
                <w:sz w:val="21"/>
                <w:szCs w:val="21"/>
                <w:highlight w:val="none"/>
              </w:rPr>
            </w:pPr>
            <w:r>
              <w:rPr>
                <w:rFonts w:ascii="仿宋" w:hAnsi="仿宋" w:eastAsia="仿宋"/>
                <w:color w:val="auto"/>
                <w:sz w:val="21"/>
                <w:szCs w:val="21"/>
                <w:highlight w:val="none"/>
              </w:rPr>
              <w:t>3</w:t>
            </w:r>
            <w:r>
              <w:rPr>
                <w:rFonts w:hint="eastAsia" w:ascii="仿宋" w:hAnsi="仿宋" w:eastAsia="仿宋" w:cs="宋体"/>
                <w:color w:val="auto"/>
                <w:sz w:val="21"/>
                <w:szCs w:val="21"/>
                <w:highlight w:val="none"/>
              </w:rPr>
              <w:t>、年终综合考评（年</w:t>
            </w:r>
            <w:r>
              <w:rPr>
                <w:rFonts w:hint="eastAsia" w:ascii="仿宋" w:hAnsi="仿宋" w:eastAsia="仿宋"/>
                <w:color w:val="auto"/>
                <w:sz w:val="21"/>
                <w:szCs w:val="21"/>
                <w:highlight w:val="none"/>
              </w:rPr>
              <w:t>平均分）大于或等于80分，双方继续下一年度合</w:t>
            </w:r>
            <w:r>
              <w:rPr>
                <w:rFonts w:hint="eastAsia" w:ascii="仿宋" w:hAnsi="仿宋" w:eastAsia="仿宋" w:cs="宋体"/>
                <w:color w:val="auto"/>
                <w:sz w:val="21"/>
                <w:szCs w:val="21"/>
                <w:highlight w:val="none"/>
              </w:rPr>
              <w:t>同</w:t>
            </w:r>
            <w:r>
              <w:rPr>
                <w:rFonts w:hint="eastAsia" w:ascii="仿宋" w:hAnsi="仿宋" w:eastAsia="仿宋"/>
                <w:color w:val="auto"/>
                <w:sz w:val="21"/>
                <w:szCs w:val="21"/>
                <w:highlight w:val="none"/>
              </w:rPr>
              <w:t>。</w:t>
            </w:r>
          </w:p>
        </w:tc>
      </w:tr>
    </w:tbl>
    <w:p>
      <w:pPr>
        <w:spacing w:line="360" w:lineRule="auto"/>
        <w:outlineLvl w:val="1"/>
        <w:rPr>
          <w:rFonts w:ascii="仿宋" w:hAnsi="仿宋" w:eastAsia="仿宋"/>
          <w:b/>
          <w:bCs/>
          <w:color w:val="auto"/>
          <w:sz w:val="24"/>
          <w:szCs w:val="84"/>
          <w:highlight w:val="none"/>
        </w:rPr>
      </w:pPr>
      <w:r>
        <w:rPr>
          <w:rFonts w:hint="eastAsia" w:ascii="仿宋" w:hAnsi="仿宋" w:eastAsia="仿宋"/>
          <w:b/>
          <w:color w:val="auto"/>
          <w:sz w:val="24"/>
          <w:highlight w:val="none"/>
        </w:rPr>
        <w:t>★</w:t>
      </w:r>
      <w:r>
        <w:rPr>
          <w:rFonts w:hint="eastAsia" w:ascii="仿宋" w:hAnsi="仿宋" w:eastAsia="仿宋"/>
          <w:b/>
          <w:bCs/>
          <w:color w:val="auto"/>
          <w:sz w:val="32"/>
          <w:szCs w:val="32"/>
          <w:highlight w:val="none"/>
        </w:rPr>
        <w:t>三、服务要求：</w:t>
      </w:r>
    </w:p>
    <w:bookmarkEnd w:id="32"/>
    <w:bookmarkEnd w:id="33"/>
    <w:p>
      <w:pPr>
        <w:tabs>
          <w:tab w:val="left" w:pos="1620"/>
        </w:tabs>
        <w:spacing w:line="360" w:lineRule="auto"/>
        <w:rPr>
          <w:rFonts w:ascii="仿宋" w:hAnsi="仿宋" w:eastAsia="仿宋"/>
          <w:bCs/>
          <w:color w:val="auto"/>
          <w:sz w:val="28"/>
          <w:szCs w:val="28"/>
          <w:highlight w:val="none"/>
        </w:rPr>
      </w:pPr>
      <w:bookmarkStart w:id="34" w:name="_Toc217446096"/>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val="en-US" w:eastAsia="zh-CN"/>
        </w:rPr>
        <w:t>一</w:t>
      </w:r>
      <w:r>
        <w:rPr>
          <w:rFonts w:hint="eastAsia" w:ascii="仿宋" w:hAnsi="仿宋" w:eastAsia="仿宋"/>
          <w:bCs/>
          <w:color w:val="auto"/>
          <w:sz w:val="28"/>
          <w:szCs w:val="28"/>
          <w:highlight w:val="none"/>
        </w:rPr>
        <w:t>）配送要求</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1.产品若为四川省医疗机构医用耗材集中挂网阳光采购目录内的产品，供应商中标后需在四川药械集中采购与医药价格监管平台医用耗材集中挂网阳光采购系统进行注册并成为挂网配送企业。</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2.供应商必须严格按照招标文件要求和投标文件中的承诺提供配送服务。</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3.供应商需按采购人实际需求提供全面、合格的货物。</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3.1供应商拟提供的所有货物产地其来源地均应为中华人民共和国或与中华人民共和国有官方贸易关系的国家或地区。</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 xml:space="preserve">3.2供应商提供的货物必须符合已颁布的相关国家标准或国际标准的有关条款。  </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3.3已纳入四川药械集中采购与医药价格监管平台集中挂网阳光采购目录内的产品，必须实行集中挂网阳光采购；供应商必须保证其配送产品阳光平台数据的顺利上报。</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4.配送时间、方式</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4.1供应商需配有相应产品存放库房，并保证有适当的备货，以确保采购人需要。</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4.2配送时间：供应商在收到采购人下达的采购计划后，需按双方约定的时限要求配送到位，不得延误采购人临床医疗工作。常规耗材应在3个工作日内送到采购人指定的地点，临时采购计划应在双方约定的时间内供货；急救或应急耗材应在订单发送时间起4-8小时内回复并完成配送。</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5</w:t>
      </w:r>
      <w:r>
        <w:rPr>
          <w:rFonts w:hint="eastAsia" w:ascii="仿宋" w:hAnsi="仿宋" w:eastAsia="仿宋"/>
          <w:bCs/>
          <w:color w:val="auto"/>
          <w:sz w:val="28"/>
          <w:szCs w:val="28"/>
          <w:highlight w:val="none"/>
        </w:rPr>
        <w:t>.供应商需负责产品的运输、现场搬运和入库，同时办理验收入库手续；供应商负责办理运输和保险，有关运输和保险的一切费用以及运输过程中的风险由供应商承担。</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6</w:t>
      </w:r>
      <w:r>
        <w:rPr>
          <w:rFonts w:hint="eastAsia" w:ascii="仿宋" w:hAnsi="仿宋" w:eastAsia="仿宋"/>
          <w:bCs/>
          <w:color w:val="auto"/>
          <w:sz w:val="28"/>
          <w:szCs w:val="28"/>
          <w:highlight w:val="none"/>
        </w:rPr>
        <w:t>.供应商在配送耗材期间，需按照相关管理规定向采购人相关管理部门或使用科室提供相关的技术检定报告。</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7</w:t>
      </w:r>
      <w:r>
        <w:rPr>
          <w:rFonts w:hint="eastAsia" w:ascii="仿宋" w:hAnsi="仿宋" w:eastAsia="仿宋"/>
          <w:bCs/>
          <w:color w:val="auto"/>
          <w:sz w:val="28"/>
          <w:szCs w:val="28"/>
          <w:highlight w:val="none"/>
        </w:rPr>
        <w:t>.供应商有专人负责配送服务和质量跟踪。</w:t>
      </w:r>
    </w:p>
    <w:p>
      <w:pPr>
        <w:tabs>
          <w:tab w:val="left" w:pos="1620"/>
        </w:tabs>
        <w:spacing w:line="360" w:lineRule="auto"/>
        <w:rPr>
          <w:rFonts w:ascii="仿宋" w:hAnsi="仿宋" w:eastAsia="仿宋"/>
          <w:bCs/>
          <w:color w:val="auto"/>
          <w:sz w:val="28"/>
          <w:szCs w:val="28"/>
          <w:highlight w:val="none"/>
        </w:rPr>
      </w:pPr>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val="en-US" w:eastAsia="zh-CN"/>
        </w:rPr>
        <w:t>二</w:t>
      </w:r>
      <w:r>
        <w:rPr>
          <w:rFonts w:hint="eastAsia" w:ascii="仿宋" w:hAnsi="仿宋" w:eastAsia="仿宋"/>
          <w:bCs/>
          <w:color w:val="auto"/>
          <w:sz w:val="28"/>
          <w:szCs w:val="28"/>
          <w:highlight w:val="none"/>
        </w:rPr>
        <w:t>）质量保证</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1.供应商供应的产品</w:t>
      </w:r>
      <w:r>
        <w:rPr>
          <w:rFonts w:hint="eastAsia" w:ascii="仿宋" w:hAnsi="仿宋" w:eastAsia="仿宋" w:cs="仿宋"/>
          <w:color w:val="auto"/>
          <w:sz w:val="28"/>
          <w:szCs w:val="28"/>
          <w:highlight w:val="none"/>
        </w:rPr>
        <w:t>有效期不能超过</w:t>
      </w:r>
      <w:r>
        <w:rPr>
          <w:rFonts w:hint="eastAsia" w:ascii="仿宋" w:hAnsi="仿宋" w:eastAsia="仿宋"/>
          <w:bCs/>
          <w:color w:val="auto"/>
          <w:sz w:val="28"/>
          <w:szCs w:val="28"/>
          <w:highlight w:val="none"/>
        </w:rPr>
        <w:t>产品有效期</w:t>
      </w:r>
      <w:r>
        <w:rPr>
          <w:rFonts w:hint="eastAsia" w:ascii="仿宋" w:hAnsi="仿宋" w:eastAsia="仿宋" w:cs="仿宋"/>
          <w:color w:val="auto"/>
          <w:sz w:val="28"/>
          <w:szCs w:val="28"/>
          <w:highlight w:val="none"/>
        </w:rPr>
        <w:t>的三分之二</w:t>
      </w:r>
      <w:r>
        <w:rPr>
          <w:rFonts w:hint="eastAsia" w:ascii="仿宋" w:hAnsi="仿宋" w:eastAsia="仿宋"/>
          <w:bCs/>
          <w:color w:val="auto"/>
          <w:sz w:val="28"/>
          <w:szCs w:val="28"/>
          <w:highlight w:val="none"/>
        </w:rPr>
        <w:t>。若有效期内出现质量问题，须按照质量承诺，由供应商负责退货；因质量问题导致相关医疗纠纷或经济赔偿，由供应商承担相应的经济和法律责任。</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2</w:t>
      </w:r>
      <w:r>
        <w:rPr>
          <w:rFonts w:hint="eastAsia" w:ascii="仿宋" w:hAnsi="仿宋" w:eastAsia="仿宋"/>
          <w:bCs/>
          <w:color w:val="auto"/>
          <w:sz w:val="28"/>
          <w:szCs w:val="28"/>
          <w:highlight w:val="none"/>
        </w:rPr>
        <w:t>.供应商供应的产品应按标准保护措施进行包装，以防止产品在转运中损坏或变质，确保产品安全无损运抵指定地点。对于破损产品需按采购人的要求进行及时调换。</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3</w:t>
      </w:r>
      <w:r>
        <w:rPr>
          <w:rFonts w:hint="eastAsia" w:ascii="仿宋" w:hAnsi="仿宋" w:eastAsia="仿宋"/>
          <w:bCs/>
          <w:color w:val="auto"/>
          <w:sz w:val="28"/>
          <w:szCs w:val="28"/>
          <w:highlight w:val="none"/>
        </w:rPr>
        <w:t>.供应商供应产品时，应保证供应商及产品、产品制造商相关资质证件齐全，并及时到采购人耗材库房办理相关资质证件备案或更新手续。</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4</w:t>
      </w:r>
      <w:r>
        <w:rPr>
          <w:rFonts w:hint="eastAsia" w:ascii="仿宋" w:hAnsi="仿宋" w:eastAsia="仿宋"/>
          <w:bCs/>
          <w:color w:val="auto"/>
          <w:sz w:val="28"/>
          <w:szCs w:val="28"/>
          <w:highlight w:val="none"/>
        </w:rPr>
        <w:t>.对于各种原因导致的不合格产品、市场监督管理部门规定不允许销售的器械耗材、采购人规定的近效期</w:t>
      </w:r>
      <w:r>
        <w:rPr>
          <w:rStyle w:val="38"/>
          <w:rFonts w:hint="eastAsia" w:ascii="仿宋" w:hAnsi="仿宋" w:eastAsia="仿宋" w:cs="仿宋"/>
          <w:color w:val="auto"/>
          <w:kern w:val="2"/>
          <w:sz w:val="28"/>
          <w:szCs w:val="28"/>
          <w:highlight w:val="none"/>
        </w:rPr>
        <w:t>3个月内</w:t>
      </w:r>
      <w:r>
        <w:rPr>
          <w:rFonts w:hint="eastAsia" w:ascii="仿宋" w:hAnsi="仿宋" w:eastAsia="仿宋"/>
          <w:bCs/>
          <w:color w:val="auto"/>
          <w:sz w:val="28"/>
          <w:szCs w:val="28"/>
          <w:highlight w:val="none"/>
        </w:rPr>
        <w:t>未使用完的产品，由供应商负责退换货。</w:t>
      </w:r>
    </w:p>
    <w:p>
      <w:pPr>
        <w:tabs>
          <w:tab w:val="left" w:pos="1620"/>
        </w:tabs>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5</w:t>
      </w:r>
      <w:r>
        <w:rPr>
          <w:rFonts w:hint="eastAsia" w:ascii="仿宋" w:hAnsi="仿宋" w:eastAsia="仿宋"/>
          <w:bCs/>
          <w:color w:val="auto"/>
          <w:sz w:val="28"/>
          <w:szCs w:val="28"/>
          <w:highlight w:val="none"/>
        </w:rPr>
        <w:t>.供应商应保证采购人在使用合同产品时免受第三方提出的有关专利权、商标权、销售权或保护期等方面的权利要求。</w:t>
      </w:r>
    </w:p>
    <w:p>
      <w:pPr>
        <w:tabs>
          <w:tab w:val="left" w:pos="1620"/>
        </w:tabs>
        <w:spacing w:line="360" w:lineRule="auto"/>
        <w:rPr>
          <w:rFonts w:ascii="仿宋" w:hAnsi="仿宋" w:eastAsia="仿宋"/>
          <w:bCs/>
          <w:color w:val="auto"/>
          <w:sz w:val="28"/>
          <w:szCs w:val="28"/>
          <w:highlight w:val="none"/>
        </w:rPr>
      </w:pPr>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val="en-US" w:eastAsia="zh-CN"/>
        </w:rPr>
        <w:t>三</w:t>
      </w:r>
      <w:r>
        <w:rPr>
          <w:rFonts w:hint="eastAsia" w:ascii="仿宋" w:hAnsi="仿宋" w:eastAsia="仿宋"/>
          <w:bCs/>
          <w:color w:val="auto"/>
          <w:sz w:val="28"/>
          <w:szCs w:val="28"/>
          <w:highlight w:val="none"/>
        </w:rPr>
        <w:t>）其它要求</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1.供应商需向采购人提供及时有效的技术支持</w:t>
      </w:r>
      <w:r>
        <w:rPr>
          <w:rFonts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在配送医用耗材时，负责向采购人</w:t>
      </w:r>
      <w:r>
        <w:rPr>
          <w:rFonts w:hint="eastAsia" w:ascii="仿宋" w:hAnsi="仿宋" w:eastAsia="仿宋"/>
          <w:bCs/>
          <w:color w:val="auto"/>
          <w:sz w:val="28"/>
          <w:szCs w:val="28"/>
          <w:highlight w:val="none"/>
        </w:rPr>
        <w:t>提供</w:t>
      </w:r>
      <w:r>
        <w:rPr>
          <w:rFonts w:hint="eastAsia" w:ascii="仿宋" w:hAnsi="仿宋" w:eastAsia="仿宋" w:cs="仿宋"/>
          <w:color w:val="auto"/>
          <w:sz w:val="28"/>
          <w:szCs w:val="28"/>
          <w:highlight w:val="none"/>
        </w:rPr>
        <w:t>相关的技术咨询、技术培训、业务指导和售后等服务，以及与耗材</w:t>
      </w:r>
      <w:r>
        <w:rPr>
          <w:rFonts w:hint="eastAsia" w:ascii="仿宋" w:hAnsi="仿宋" w:eastAsia="仿宋"/>
          <w:bCs/>
          <w:color w:val="auto"/>
          <w:sz w:val="28"/>
          <w:szCs w:val="28"/>
          <w:highlight w:val="none"/>
        </w:rPr>
        <w:t>使用相关的学习</w:t>
      </w:r>
      <w:r>
        <w:rPr>
          <w:rFonts w:hint="eastAsia" w:ascii="仿宋" w:hAnsi="仿宋" w:eastAsia="仿宋" w:cs="仿宋"/>
          <w:color w:val="auto"/>
          <w:sz w:val="28"/>
          <w:szCs w:val="28"/>
          <w:highlight w:val="none"/>
        </w:rPr>
        <w:t>与</w:t>
      </w:r>
      <w:r>
        <w:rPr>
          <w:rFonts w:hint="eastAsia" w:ascii="仿宋" w:hAnsi="仿宋" w:eastAsia="仿宋"/>
          <w:bCs/>
          <w:color w:val="auto"/>
          <w:sz w:val="28"/>
          <w:szCs w:val="28"/>
          <w:highlight w:val="none"/>
        </w:rPr>
        <w:t>培训机会。</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2.采购人</w:t>
      </w:r>
      <w:r>
        <w:rPr>
          <w:rFonts w:hint="eastAsia" w:ascii="仿宋" w:hAnsi="仿宋" w:eastAsia="仿宋" w:cs="仿宋"/>
          <w:bCs/>
          <w:color w:val="auto"/>
          <w:sz w:val="28"/>
          <w:szCs w:val="28"/>
          <w:highlight w:val="none"/>
        </w:rPr>
        <w:t>对耗材实行信息化管理</w:t>
      </w:r>
      <w:r>
        <w:rPr>
          <w:rFonts w:hint="eastAsia" w:ascii="仿宋" w:hAnsi="仿宋" w:eastAsia="仿宋"/>
          <w:bCs/>
          <w:color w:val="auto"/>
          <w:sz w:val="28"/>
          <w:szCs w:val="28"/>
          <w:highlight w:val="none"/>
        </w:rPr>
        <w:t>，供应商需向采购人提供</w:t>
      </w:r>
      <w:r>
        <w:rPr>
          <w:rFonts w:hint="eastAsia" w:ascii="仿宋" w:hAnsi="仿宋" w:eastAsia="仿宋" w:cs="仿宋"/>
          <w:bCs/>
          <w:color w:val="auto"/>
          <w:sz w:val="28"/>
          <w:szCs w:val="28"/>
          <w:highlight w:val="none"/>
        </w:rPr>
        <w:t>与其适应的物流及</w:t>
      </w:r>
      <w:r>
        <w:rPr>
          <w:rFonts w:hint="eastAsia" w:ascii="仿宋" w:hAnsi="仿宋" w:eastAsia="仿宋"/>
          <w:bCs/>
          <w:color w:val="auto"/>
          <w:sz w:val="28"/>
          <w:szCs w:val="28"/>
          <w:highlight w:val="none"/>
        </w:rPr>
        <w:t>固定资产信息化管理</w:t>
      </w:r>
      <w:r>
        <w:rPr>
          <w:rFonts w:hint="eastAsia" w:ascii="仿宋" w:hAnsi="仿宋" w:eastAsia="仿宋" w:cs="仿宋"/>
          <w:bCs/>
          <w:color w:val="auto"/>
          <w:sz w:val="28"/>
          <w:szCs w:val="28"/>
          <w:highlight w:val="none"/>
        </w:rPr>
        <w:t>系统，为采购人搭建数据化管理平台，实现全程可管理追溯。</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3.供应商需在中标后成立驻院项目组，为采购人提供专业化的对口服务。</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4.供应商</w:t>
      </w:r>
      <w:r>
        <w:rPr>
          <w:rFonts w:hint="eastAsia" w:ascii="仿宋" w:hAnsi="仿宋" w:eastAsia="仿宋" w:cs="仿宋"/>
          <w:bCs/>
          <w:color w:val="auto"/>
          <w:sz w:val="28"/>
          <w:szCs w:val="28"/>
          <w:highlight w:val="none"/>
        </w:rPr>
        <w:t>按照市场监督管理</w:t>
      </w:r>
      <w:r>
        <w:rPr>
          <w:rFonts w:hint="eastAsia" w:ascii="仿宋" w:hAnsi="仿宋" w:eastAsia="仿宋"/>
          <w:bCs/>
          <w:color w:val="auto"/>
          <w:sz w:val="28"/>
          <w:szCs w:val="28"/>
          <w:highlight w:val="none"/>
        </w:rPr>
        <w:t>部门</w:t>
      </w:r>
      <w:r>
        <w:rPr>
          <w:rFonts w:hint="eastAsia" w:ascii="仿宋" w:hAnsi="仿宋" w:eastAsia="仿宋" w:cs="仿宋"/>
          <w:bCs/>
          <w:color w:val="auto"/>
          <w:sz w:val="28"/>
          <w:szCs w:val="28"/>
          <w:highlight w:val="none"/>
        </w:rPr>
        <w:t>要求，完成医院医用耗材库房的规划，实现医疗器械库房货位</w:t>
      </w:r>
      <w:r>
        <w:rPr>
          <w:rFonts w:hint="eastAsia" w:ascii="仿宋" w:hAnsi="仿宋" w:eastAsia="仿宋"/>
          <w:bCs/>
          <w:color w:val="auto"/>
          <w:sz w:val="28"/>
          <w:szCs w:val="28"/>
          <w:highlight w:val="none"/>
        </w:rPr>
        <w:t>管理。</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5.签订合同后，若合同与国家相关政策相抵触或因国家、省、市相关政策调整导致合同不能继续执行，双方则自动终止合同，由此导致的损失各自承担。</w:t>
      </w:r>
    </w:p>
    <w:p>
      <w:pPr>
        <w:tabs>
          <w:tab w:val="left" w:pos="1620"/>
        </w:tabs>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6.供应商在医用耗材购销活动中必须严格恪守国家、省、市有关廉政建设相关规定，在签订购销合同时需与采购人同时签订《医药购销廉洁合同》并能够严格遵守，同时无条件接受纪检监察部门的检查及监督。</w:t>
      </w:r>
    </w:p>
    <w:p>
      <w:pPr>
        <w:pStyle w:val="17"/>
        <w:rPr>
          <w:color w:val="auto"/>
          <w:sz w:val="28"/>
          <w:szCs w:val="28"/>
          <w:highlight w:val="none"/>
        </w:rPr>
      </w:pPr>
      <w:bookmarkStart w:id="35" w:name="_Toc375898988"/>
      <w:bookmarkStart w:id="36" w:name="PO_默认文件内容_12"/>
      <w:r>
        <w:rPr>
          <w:color w:val="auto"/>
          <w:sz w:val="28"/>
          <w:szCs w:val="28"/>
          <w:highlight w:val="none"/>
        </w:rPr>
        <w:br w:type="page"/>
      </w:r>
    </w:p>
    <w:p>
      <w:pPr>
        <w:pStyle w:val="3"/>
        <w:spacing w:line="240" w:lineRule="atLeast"/>
        <w:jc w:val="center"/>
        <w:rPr>
          <w:rFonts w:ascii="仿宋" w:hAnsi="仿宋" w:eastAsia="仿宋"/>
          <w:bCs w:val="0"/>
          <w:color w:val="auto"/>
          <w:sz w:val="36"/>
          <w:highlight w:val="none"/>
        </w:rPr>
      </w:pPr>
      <w:r>
        <w:rPr>
          <w:rFonts w:hint="eastAsia" w:ascii="仿宋" w:hAnsi="仿宋" w:eastAsia="仿宋"/>
          <w:bCs w:val="0"/>
          <w:color w:val="auto"/>
          <w:sz w:val="36"/>
          <w:highlight w:val="none"/>
        </w:rPr>
        <w:t>第</w:t>
      </w:r>
      <w:r>
        <w:rPr>
          <w:rFonts w:hint="eastAsia" w:ascii="仿宋" w:hAnsi="仿宋" w:eastAsia="仿宋"/>
          <w:bCs w:val="0"/>
          <w:color w:val="auto"/>
          <w:sz w:val="36"/>
          <w:highlight w:val="none"/>
          <w:lang w:val="en-US" w:eastAsia="zh-CN"/>
        </w:rPr>
        <w:t>四</w:t>
      </w:r>
      <w:r>
        <w:rPr>
          <w:rFonts w:hint="eastAsia" w:ascii="仿宋" w:hAnsi="仿宋" w:eastAsia="仿宋"/>
          <w:bCs w:val="0"/>
          <w:color w:val="auto"/>
          <w:sz w:val="36"/>
          <w:highlight w:val="none"/>
        </w:rPr>
        <w:t>章  评标办法</w:t>
      </w:r>
      <w:bookmarkEnd w:id="34"/>
      <w:bookmarkEnd w:id="35"/>
      <w:bookmarkStart w:id="37" w:name="_Hlt101846155"/>
      <w:bookmarkEnd w:id="37"/>
      <w:bookmarkStart w:id="38" w:name="_Toc183682415"/>
      <w:bookmarkStart w:id="39" w:name="_Toc208849007"/>
      <w:bookmarkStart w:id="40" w:name="_Toc217446097"/>
      <w:bookmarkStart w:id="41" w:name="_Toc183582280"/>
    </w:p>
    <w:bookmarkEnd w:id="38"/>
    <w:bookmarkEnd w:id="39"/>
    <w:bookmarkEnd w:id="40"/>
    <w:bookmarkEnd w:id="41"/>
    <w:p>
      <w:pPr>
        <w:pStyle w:val="4"/>
        <w:spacing w:line="400" w:lineRule="exact"/>
        <w:ind w:firstLine="560" w:firstLineChars="200"/>
        <w:rPr>
          <w:rFonts w:ascii="仿宋" w:hAnsi="仿宋" w:eastAsia="仿宋"/>
          <w:b w:val="0"/>
          <w:bCs w:val="0"/>
          <w:color w:val="auto"/>
          <w:sz w:val="28"/>
          <w:szCs w:val="28"/>
          <w:highlight w:val="none"/>
        </w:rPr>
      </w:pPr>
      <w:bookmarkStart w:id="42" w:name="_Toc217446103"/>
      <w:r>
        <w:rPr>
          <w:rFonts w:hint="eastAsia" w:ascii="仿宋" w:hAnsi="仿宋" w:eastAsia="仿宋"/>
          <w:b w:val="0"/>
          <w:bCs w:val="0"/>
          <w:color w:val="auto"/>
          <w:sz w:val="28"/>
          <w:szCs w:val="28"/>
          <w:highlight w:val="none"/>
          <w:lang w:val="en-US" w:eastAsia="zh-CN"/>
        </w:rPr>
        <w:t>1.</w:t>
      </w:r>
      <w:r>
        <w:rPr>
          <w:rFonts w:hint="eastAsia" w:ascii="仿宋" w:hAnsi="仿宋" w:eastAsia="仿宋"/>
          <w:b w:val="0"/>
          <w:bCs w:val="0"/>
          <w:color w:val="auto"/>
          <w:sz w:val="28"/>
          <w:szCs w:val="28"/>
          <w:highlight w:val="none"/>
        </w:rPr>
        <w:t>评标细则及标准（综合评分法）</w:t>
      </w:r>
      <w:bookmarkEnd w:id="42"/>
    </w:p>
    <w:p>
      <w:pPr>
        <w:spacing w:line="4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本次综合评分的主要因素是：</w:t>
      </w:r>
      <w:r>
        <w:rPr>
          <w:rFonts w:hint="eastAsia" w:ascii="仿宋" w:hAnsi="仿宋" w:eastAsia="仿宋"/>
          <w:color w:val="auto"/>
          <w:sz w:val="28"/>
          <w:szCs w:val="28"/>
          <w:highlight w:val="none"/>
          <w:lang w:val="en-US" w:eastAsia="zh-CN"/>
        </w:rPr>
        <w:t>报价、配送服务、售后服务、</w:t>
      </w:r>
      <w:r>
        <w:rPr>
          <w:rFonts w:hint="eastAsia" w:ascii="仿宋" w:hAnsi="仿宋" w:eastAsia="仿宋"/>
          <w:color w:val="auto"/>
          <w:sz w:val="28"/>
          <w:szCs w:val="28"/>
          <w:highlight w:val="none"/>
        </w:rPr>
        <w:t>应急配送、</w:t>
      </w:r>
      <w:r>
        <w:rPr>
          <w:rFonts w:hint="eastAsia" w:ascii="仿宋" w:hAnsi="仿宋" w:eastAsia="仿宋"/>
          <w:color w:val="auto"/>
          <w:sz w:val="28"/>
          <w:szCs w:val="28"/>
          <w:highlight w:val="none"/>
          <w:lang w:val="en-US" w:eastAsia="zh-CN"/>
        </w:rPr>
        <w:t>履约能力</w:t>
      </w:r>
      <w:r>
        <w:rPr>
          <w:rFonts w:hint="eastAsia" w:ascii="仿宋" w:hAnsi="仿宋" w:eastAsia="仿宋"/>
          <w:color w:val="auto"/>
          <w:sz w:val="28"/>
          <w:szCs w:val="28"/>
          <w:highlight w:val="none"/>
        </w:rPr>
        <w:t>等。除价格因素外，评委会成员应依据投标文件规定的评分标准和方法独立对其他因素进行比较打分。</w:t>
      </w:r>
    </w:p>
    <w:p>
      <w:pPr>
        <w:pStyle w:val="18"/>
        <w:numPr>
          <w:ilvl w:val="0"/>
          <w:numId w:val="0"/>
        </w:numPr>
        <w:tabs>
          <w:tab w:val="left" w:pos="600"/>
        </w:tabs>
        <w:spacing w:line="400" w:lineRule="exact"/>
        <w:ind w:firstLine="560" w:firstLineChars="200"/>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2.</w:t>
      </w:r>
      <w:r>
        <w:rPr>
          <w:rFonts w:hint="eastAsia" w:ascii="仿宋" w:hAnsi="仿宋" w:eastAsia="仿宋"/>
          <w:b w:val="0"/>
          <w:bCs w:val="0"/>
          <w:color w:val="auto"/>
          <w:sz w:val="28"/>
          <w:szCs w:val="28"/>
          <w:highlight w:val="none"/>
        </w:rPr>
        <w:t>综合评分明细表</w:t>
      </w:r>
    </w:p>
    <w:p>
      <w:pPr>
        <w:pStyle w:val="18"/>
        <w:numPr>
          <w:ilvl w:val="0"/>
          <w:numId w:val="0"/>
        </w:numPr>
        <w:tabs>
          <w:tab w:val="left" w:pos="600"/>
        </w:tabs>
        <w:spacing w:line="400" w:lineRule="exact"/>
        <w:rPr>
          <w:rFonts w:hint="eastAsia" w:ascii="仿宋" w:hAnsi="仿宋" w:eastAsia="仿宋"/>
          <w:color w:val="auto"/>
          <w:sz w:val="24"/>
          <w:szCs w:val="24"/>
          <w:highlight w:val="none"/>
        </w:rPr>
      </w:pPr>
    </w:p>
    <w:bookmarkEnd w:id="36"/>
    <w:tbl>
      <w:tblPr>
        <w:tblStyle w:val="3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05"/>
        <w:gridCol w:w="751"/>
        <w:gridCol w:w="549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55"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005"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评分因素</w:t>
            </w:r>
          </w:p>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及权重</w:t>
            </w:r>
          </w:p>
        </w:tc>
        <w:tc>
          <w:tcPr>
            <w:tcW w:w="751"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5493" w:type="dxa"/>
            <w:noWrap w:val="0"/>
            <w:vAlign w:val="center"/>
          </w:tcPr>
          <w:p>
            <w:pPr>
              <w:spacing w:line="36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评分标准</w:t>
            </w:r>
          </w:p>
        </w:tc>
        <w:tc>
          <w:tcPr>
            <w:tcW w:w="126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5"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05"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报价30%</w:t>
            </w:r>
          </w:p>
        </w:tc>
        <w:tc>
          <w:tcPr>
            <w:tcW w:w="751"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5493" w:type="dxa"/>
            <w:noWrap w:val="0"/>
            <w:vAlign w:val="center"/>
          </w:tcPr>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非挂网的产品（试剂）报价分：满足招标文件要求且报价下浮比例（xxx%）最高的报价为基准价，报价得分=(1-基准价）／（1-报价)×30%×100。</w:t>
            </w:r>
          </w:p>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1、根据《政府采购促进中小企业发展管理办法》（财库[2020]46 号）、《关于进一步加大政府采购支持中小企业力度的通知》（财库〔2022〕19 号）的规定，对小型和微型企业产品的价格给予10%的价格扣除，用扣除后的价格参与评审。 </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2、参加政府采购活动的中小微企业应当提供《中小企业声明函》原件。监狱企业（含新疆生产建设兵团）应当提供《监狱企业证明》原件。残疾人福利性单位应当提供《残疾人福利性单位声明函》原件。 注：监狱企业、残疾人福利性单位视同为中小企业。</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3、最终报价得分四舍五入保留两位小数。</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5"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05"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配送服务15%</w:t>
            </w:r>
          </w:p>
        </w:tc>
        <w:tc>
          <w:tcPr>
            <w:tcW w:w="751"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5493" w:type="dxa"/>
            <w:noWrap w:val="0"/>
            <w:vAlign w:val="center"/>
          </w:tcPr>
          <w:p>
            <w:pPr>
              <w:numPr>
                <w:ilvl w:val="0"/>
                <w:numId w:val="0"/>
              </w:num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供应商根据本项目</w:t>
            </w:r>
            <w:r>
              <w:rPr>
                <w:rFonts w:hint="eastAsia" w:ascii="仿宋" w:hAnsi="仿宋" w:eastAsia="仿宋" w:cs="仿宋"/>
                <w:sz w:val="22"/>
                <w:szCs w:val="22"/>
                <w:highlight w:val="none"/>
              </w:rPr>
              <w:t>服务技术要求</w:t>
            </w:r>
            <w:r>
              <w:rPr>
                <w:rFonts w:hint="eastAsia" w:ascii="仿宋" w:hAnsi="仿宋" w:eastAsia="仿宋" w:cs="仿宋"/>
                <w:sz w:val="22"/>
                <w:szCs w:val="22"/>
                <w:highlight w:val="none"/>
                <w:lang w:eastAsia="zh-CN"/>
              </w:rPr>
              <w:t>及</w:t>
            </w:r>
            <w:r>
              <w:rPr>
                <w:rFonts w:hint="eastAsia" w:ascii="仿宋" w:hAnsi="仿宋" w:eastAsia="仿宋" w:cs="仿宋"/>
                <w:sz w:val="22"/>
                <w:szCs w:val="22"/>
                <w:highlight w:val="none"/>
              </w:rPr>
              <w:t>商务要求</w:t>
            </w:r>
            <w:r>
              <w:rPr>
                <w:rFonts w:hint="eastAsia" w:ascii="仿宋" w:hAnsi="仿宋" w:eastAsia="仿宋" w:cs="仿宋"/>
                <w:color w:val="auto"/>
                <w:sz w:val="22"/>
                <w:szCs w:val="22"/>
                <w:highlight w:val="none"/>
                <w:lang w:val="en-US" w:eastAsia="zh-CN"/>
              </w:rPr>
              <w:t>拟定配送服务方案，方案包含但不限于①产品配送实施方案与保障（总体配送实施方案、具体部署、组织架构与配送保障措施）、②配送产品质量管理与措施（质量管理目标、质量管理与保障依据、质量管理措施具体体现）、③产品安全管理体系与措施（安全管理目标、产品使用时的具体安全保障措施）；</w:t>
            </w:r>
            <w:r>
              <w:rPr>
                <w:rFonts w:hint="eastAsia" w:ascii="仿宋" w:hAnsi="仿宋" w:eastAsia="仿宋" w:cs="仿宋"/>
                <w:color w:val="auto"/>
                <w:sz w:val="22"/>
                <w:szCs w:val="22"/>
                <w:highlight w:val="none"/>
                <w:lang w:val="en-US" w:eastAsia="zh-CN"/>
              </w:rPr>
              <w:fldChar w:fldCharType="begin"/>
            </w:r>
            <w:r>
              <w:rPr>
                <w:rFonts w:hint="eastAsia" w:ascii="仿宋" w:hAnsi="仿宋" w:eastAsia="仿宋" w:cs="仿宋"/>
                <w:color w:val="auto"/>
                <w:sz w:val="22"/>
                <w:szCs w:val="22"/>
                <w:highlight w:val="none"/>
                <w:lang w:val="en-US" w:eastAsia="zh-CN"/>
              </w:rPr>
              <w:instrText xml:space="preserve"> = 4 \* GB3 \* MERGEFORMAT </w:instrText>
            </w:r>
            <w:r>
              <w:rPr>
                <w:rFonts w:hint="eastAsia" w:ascii="仿宋" w:hAnsi="仿宋" w:eastAsia="仿宋" w:cs="仿宋"/>
                <w:color w:val="auto"/>
                <w:sz w:val="22"/>
                <w:szCs w:val="22"/>
                <w:highlight w:val="none"/>
                <w:lang w:val="en-US" w:eastAsia="zh-CN"/>
              </w:rPr>
              <w:fldChar w:fldCharType="separate"/>
            </w: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lang w:val="en-US" w:eastAsia="zh-CN"/>
              </w:rPr>
              <w:fldChar w:fldCharType="end"/>
            </w:r>
            <w:r>
              <w:rPr>
                <w:rFonts w:hint="eastAsia" w:ascii="仿宋" w:hAnsi="仿宋" w:eastAsia="仿宋" w:cs="仿宋"/>
                <w:color w:val="auto"/>
                <w:sz w:val="22"/>
                <w:szCs w:val="22"/>
                <w:highlight w:val="none"/>
                <w:lang w:val="en-US" w:eastAsia="zh-CN"/>
              </w:rPr>
              <w:t>产品服务技术人员配置（职业安全措施、服务技术保障、应急处理能力及流程）等内容。</w:t>
            </w:r>
          </w:p>
          <w:p>
            <w:pPr>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以上内容阐述清晰、针对性强、贴合项目特点、内容完整且符合项目实际情况的得15分；每缺少一项内容的扣5分，每有一项内容有错误或不相适应的扣3分，不提供不得分。</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5"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p>
          <w:p>
            <w:pPr>
              <w:spacing w:line="240" w:lineRule="auto"/>
              <w:jc w:val="center"/>
              <w:rPr>
                <w:rFonts w:hint="eastAsia" w:ascii="仿宋" w:hAnsi="仿宋" w:eastAsia="仿宋" w:cs="仿宋"/>
                <w:color w:val="auto"/>
                <w:sz w:val="24"/>
                <w:szCs w:val="24"/>
                <w:highlight w:val="none"/>
                <w:lang w:val="en-US" w:eastAsia="zh-CN"/>
              </w:rPr>
            </w:pPr>
          </w:p>
          <w:p>
            <w:pPr>
              <w:spacing w:line="240" w:lineRule="auto"/>
              <w:jc w:val="center"/>
              <w:rPr>
                <w:rFonts w:hint="eastAsia" w:ascii="仿宋" w:hAnsi="仿宋" w:eastAsia="仿宋" w:cs="仿宋"/>
                <w:color w:val="auto"/>
                <w:sz w:val="24"/>
                <w:szCs w:val="24"/>
                <w:highlight w:val="none"/>
                <w:lang w:val="en-US" w:eastAsia="zh-CN"/>
              </w:rPr>
            </w:pPr>
          </w:p>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p>
            <w:pPr>
              <w:spacing w:line="240" w:lineRule="auto"/>
              <w:ind w:firstLine="480" w:firstLineChars="200"/>
              <w:jc w:val="center"/>
              <w:rPr>
                <w:rFonts w:hint="eastAsia" w:ascii="仿宋" w:hAnsi="仿宋" w:eastAsia="仿宋" w:cs="仿宋"/>
                <w:color w:val="auto"/>
                <w:sz w:val="24"/>
                <w:szCs w:val="24"/>
                <w:highlight w:val="none"/>
                <w:lang w:val="en-US" w:eastAsia="zh-CN"/>
              </w:rPr>
            </w:pPr>
          </w:p>
          <w:p>
            <w:pPr>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1005"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售后服务15%</w:t>
            </w:r>
          </w:p>
        </w:tc>
        <w:tc>
          <w:tcPr>
            <w:tcW w:w="751"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p>
            <w:pPr>
              <w:spacing w:line="240" w:lineRule="auto"/>
              <w:ind w:firstLine="480" w:firstLineChars="200"/>
              <w:rPr>
                <w:rFonts w:hint="eastAsia" w:ascii="仿宋" w:hAnsi="仿宋" w:eastAsia="仿宋" w:cs="仿宋"/>
                <w:color w:val="auto"/>
                <w:sz w:val="24"/>
                <w:szCs w:val="24"/>
                <w:highlight w:val="none"/>
                <w:lang w:val="en-US" w:eastAsia="zh-CN"/>
              </w:rPr>
            </w:pPr>
          </w:p>
        </w:tc>
        <w:tc>
          <w:tcPr>
            <w:tcW w:w="5493" w:type="dxa"/>
            <w:noWrap w:val="0"/>
            <w:vAlign w:val="center"/>
          </w:tcPr>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售后服务方案：15分</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根据供应商提供的售后服务方案进行评审，方案包含但不限于①售后服务技术支持、支撑、②售后服务人员配置及技术力量、③售后服务响应及服务时间等内容。</w:t>
            </w:r>
          </w:p>
          <w:p>
            <w:pPr>
              <w:spacing w:line="24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以上内容阐述清晰、针对性强、贴合项目特点、内容完整且符合项目实际情况的得15分；每缺少一项内容的扣5分，每有一项内容有错误或不相适应的扣3分，不提供不得分。</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5" w:type="dxa"/>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005" w:type="dxa"/>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应急配送10%</w:t>
            </w:r>
          </w:p>
        </w:tc>
        <w:tc>
          <w:tcPr>
            <w:tcW w:w="751" w:type="dxa"/>
            <w:noWrap w:val="0"/>
            <w:vAlign w:val="center"/>
          </w:tcPr>
          <w:p>
            <w:pPr>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493" w:type="dxa"/>
            <w:noWrap w:val="0"/>
            <w:vAlign w:val="center"/>
          </w:tcPr>
          <w:p>
            <w:pPr>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根据供应商提供的应急配送方案进行评审，方案包含但不限于①临时计划处理、②物资定点供货管理、③运输保障方案、</w:t>
            </w:r>
            <w:r>
              <w:rPr>
                <w:rFonts w:hint="eastAsia" w:ascii="仿宋" w:hAnsi="仿宋" w:eastAsia="仿宋" w:cs="仿宋"/>
                <w:color w:val="auto"/>
                <w:sz w:val="22"/>
                <w:szCs w:val="22"/>
                <w:highlight w:val="none"/>
                <w:lang w:val="en-US" w:eastAsia="zh-CN"/>
              </w:rPr>
              <w:fldChar w:fldCharType="begin"/>
            </w:r>
            <w:r>
              <w:rPr>
                <w:rFonts w:hint="eastAsia" w:ascii="仿宋" w:hAnsi="仿宋" w:eastAsia="仿宋" w:cs="仿宋"/>
                <w:color w:val="auto"/>
                <w:sz w:val="22"/>
                <w:szCs w:val="22"/>
                <w:highlight w:val="none"/>
                <w:lang w:val="en-US" w:eastAsia="zh-CN"/>
              </w:rPr>
              <w:instrText xml:space="preserve"> = 4 \* GB3 \* MERGEFORMAT </w:instrText>
            </w:r>
            <w:r>
              <w:rPr>
                <w:rFonts w:hint="eastAsia" w:ascii="仿宋" w:hAnsi="仿宋" w:eastAsia="仿宋" w:cs="仿宋"/>
                <w:color w:val="auto"/>
                <w:sz w:val="22"/>
                <w:szCs w:val="22"/>
                <w:highlight w:val="none"/>
                <w:lang w:val="en-US" w:eastAsia="zh-CN"/>
              </w:rPr>
              <w:fldChar w:fldCharType="separate"/>
            </w: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lang w:val="en-US" w:eastAsia="zh-CN"/>
              </w:rPr>
              <w:fldChar w:fldCharType="end"/>
            </w:r>
            <w:r>
              <w:rPr>
                <w:rFonts w:hint="eastAsia" w:ascii="仿宋" w:hAnsi="仿宋" w:eastAsia="仿宋" w:cs="仿宋"/>
                <w:color w:val="auto"/>
                <w:sz w:val="22"/>
                <w:szCs w:val="22"/>
                <w:highlight w:val="none"/>
                <w:lang w:val="en-US" w:eastAsia="zh-CN"/>
              </w:rPr>
              <w:t>应急物资的调配方案等内容。</w:t>
            </w:r>
          </w:p>
          <w:p>
            <w:pPr>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以上内容阐述清晰、针对性强、贴合项目特点、内容完整且符合项目实际情况的得10分；每缺少一项内容的扣5分，每有一项内容有错误或不相适应的扣3分，不提供不得分，本项得分扣完为止。</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55"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5" w:type="dxa"/>
            <w:noWrap w:val="0"/>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履约能力30%</w:t>
            </w:r>
          </w:p>
        </w:tc>
        <w:tc>
          <w:tcPr>
            <w:tcW w:w="751" w:type="dxa"/>
            <w:noWrap w:val="0"/>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5493" w:type="dxa"/>
            <w:noWrap w:val="0"/>
            <w:vAlign w:val="center"/>
          </w:tcPr>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供应商具有类似项目业绩的，每提供一个类似项目业绩得2分，最多得4分。</w:t>
            </w:r>
          </w:p>
          <w:p>
            <w:pPr>
              <w:pStyle w:val="2"/>
              <w:rPr>
                <w:rFonts w:hint="default"/>
                <w:sz w:val="16"/>
                <w:szCs w:val="18"/>
                <w:highlight w:val="none"/>
                <w:lang w:val="en-US" w:eastAsia="zh-CN"/>
              </w:rPr>
            </w:pPr>
            <w:r>
              <w:rPr>
                <w:rFonts w:hint="eastAsia" w:ascii="仿宋" w:hAnsi="仿宋" w:eastAsia="仿宋" w:cs="仿宋"/>
                <w:color w:val="auto"/>
                <w:sz w:val="22"/>
                <w:szCs w:val="22"/>
                <w:highlight w:val="none"/>
                <w:lang w:val="en-US" w:eastAsia="zh-CN"/>
              </w:rPr>
              <w:t>供应商提供产品完整授权链，每缺少一项完整授权链的扣5分，扣完为止。</w:t>
            </w:r>
          </w:p>
          <w:p>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注：提供中标（成交）通知书或合同的复印件。</w:t>
            </w:r>
          </w:p>
          <w:p>
            <w:pPr>
              <w:pStyle w:val="2"/>
              <w:rPr>
                <w:rFonts w:hint="default"/>
                <w:sz w:val="16"/>
                <w:szCs w:val="18"/>
                <w:highlight w:val="none"/>
                <w:lang w:val="en-US" w:eastAsia="zh-CN"/>
              </w:rPr>
            </w:pPr>
            <w:r>
              <w:rPr>
                <w:rFonts w:hint="eastAsia" w:ascii="仿宋" w:hAnsi="仿宋" w:eastAsia="仿宋" w:cs="仿宋"/>
                <w:color w:val="auto"/>
                <w:sz w:val="22"/>
                <w:szCs w:val="22"/>
                <w:highlight w:val="none"/>
                <w:lang w:val="en-US" w:eastAsia="zh-CN"/>
              </w:rPr>
              <w:t>提供完整授权链复印件</w:t>
            </w:r>
          </w:p>
        </w:tc>
        <w:tc>
          <w:tcPr>
            <w:tcW w:w="1263" w:type="dxa"/>
            <w:noWrap w:val="0"/>
            <w:vAlign w:val="center"/>
          </w:tcPr>
          <w:p>
            <w:pPr>
              <w:spacing w:line="240" w:lineRule="auto"/>
              <w:ind w:firstLine="480" w:firstLineChars="200"/>
              <w:rPr>
                <w:rFonts w:hint="eastAsia" w:ascii="仿宋" w:hAnsi="仿宋" w:eastAsia="仿宋" w:cs="仿宋"/>
                <w:color w:val="auto"/>
                <w:sz w:val="24"/>
                <w:szCs w:val="24"/>
                <w:highlight w:val="none"/>
                <w:lang w:val="en-US" w:eastAsia="zh-CN"/>
              </w:rPr>
            </w:pPr>
          </w:p>
        </w:tc>
      </w:tr>
    </w:tbl>
    <w:p>
      <w:pPr>
        <w:spacing w:line="400" w:lineRule="exact"/>
        <w:ind w:firstLine="680" w:firstLineChars="200"/>
        <w:rPr>
          <w:rFonts w:ascii="仿宋" w:hAnsi="仿宋" w:eastAsia="仿宋"/>
          <w:color w:val="auto"/>
          <w:highlight w:val="none"/>
        </w:rPr>
      </w:pPr>
    </w:p>
    <w:sectPr>
      <w:headerReference r:id="rId8" w:type="default"/>
      <w:footerReference r:id="rId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5"/>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5"/>
      </w:rPr>
    </w:pPr>
    <w:r>
      <w:fldChar w:fldCharType="begin"/>
    </w:r>
    <w:r>
      <w:rPr>
        <w:rStyle w:val="35"/>
      </w:rPr>
      <w:instrText xml:space="preserve">PAGE  </w:instrText>
    </w:r>
    <w:r>
      <w:fldChar w:fldCharType="separate"/>
    </w:r>
    <w:r>
      <w:rPr>
        <w:rStyle w:val="35"/>
      </w:rPr>
      <w:t>8</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585" w:firstLineChars="1992"/>
    </w:pPr>
    <w:r>
      <w:rPr>
        <w:szCs w:val="21"/>
      </w:rPr>
      <w:fldChar w:fldCharType="begin"/>
    </w:r>
    <w:r>
      <w:rPr>
        <w:szCs w:val="21"/>
      </w:rPr>
      <w:instrText xml:space="preserve"> PAGE </w:instrText>
    </w:r>
    <w:r>
      <w:rPr>
        <w:szCs w:val="21"/>
      </w:rPr>
      <w:fldChar w:fldCharType="separate"/>
    </w:r>
    <w:r>
      <w:rPr>
        <w:szCs w:val="21"/>
      </w:rPr>
      <w:t>24</w:t>
    </w:r>
    <w:r>
      <w:rPr>
        <w:szCs w:val="21"/>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27C55"/>
    <w:multiLevelType w:val="singleLevel"/>
    <w:tmpl w:val="C4527C55"/>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108D0E3A"/>
    <w:multiLevelType w:val="singleLevel"/>
    <w:tmpl w:val="108D0E3A"/>
    <w:lvl w:ilvl="0" w:tentative="0">
      <w:start w:val="12"/>
      <w:numFmt w:val="chineseCounting"/>
      <w:suff w:val="nothing"/>
      <w:lvlText w:val="%1、"/>
      <w:lvlJc w:val="left"/>
      <w:rPr>
        <w:rFonts w:hint="eastAsia"/>
      </w:rPr>
    </w:lvl>
  </w:abstractNum>
  <w:abstractNum w:abstractNumId="3">
    <w:nsid w:val="6613D20C"/>
    <w:multiLevelType w:val="singleLevel"/>
    <w:tmpl w:val="6613D20C"/>
    <w:lvl w:ilvl="0" w:tentative="0">
      <w:start w:val="2"/>
      <w:numFmt w:val="chineseCounting"/>
      <w:suff w:val="space"/>
      <w:lvlText w:val="第%1章"/>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YzQ5ZTJmY2UwYWRjMjZhYzY4OGJkYjQyMWU1OGQifQ=="/>
  </w:docVars>
  <w:rsids>
    <w:rsidRoot w:val="00172A27"/>
    <w:rsid w:val="000018F2"/>
    <w:rsid w:val="00005158"/>
    <w:rsid w:val="00005844"/>
    <w:rsid w:val="00007C93"/>
    <w:rsid w:val="0001473B"/>
    <w:rsid w:val="00025231"/>
    <w:rsid w:val="000257C9"/>
    <w:rsid w:val="0004163D"/>
    <w:rsid w:val="00041679"/>
    <w:rsid w:val="000424C9"/>
    <w:rsid w:val="00043AEE"/>
    <w:rsid w:val="00044156"/>
    <w:rsid w:val="00046F09"/>
    <w:rsid w:val="00055D31"/>
    <w:rsid w:val="00056FB0"/>
    <w:rsid w:val="000576B3"/>
    <w:rsid w:val="00073A91"/>
    <w:rsid w:val="00077693"/>
    <w:rsid w:val="000862C5"/>
    <w:rsid w:val="00092037"/>
    <w:rsid w:val="00092679"/>
    <w:rsid w:val="0009721D"/>
    <w:rsid w:val="000A0AA2"/>
    <w:rsid w:val="000B2416"/>
    <w:rsid w:val="000C15B3"/>
    <w:rsid w:val="000C495F"/>
    <w:rsid w:val="000D6EC2"/>
    <w:rsid w:val="000E292E"/>
    <w:rsid w:val="000E41A7"/>
    <w:rsid w:val="000F5316"/>
    <w:rsid w:val="00111593"/>
    <w:rsid w:val="00114FF5"/>
    <w:rsid w:val="00115D9E"/>
    <w:rsid w:val="00116A41"/>
    <w:rsid w:val="00122BD5"/>
    <w:rsid w:val="00137C95"/>
    <w:rsid w:val="0014102A"/>
    <w:rsid w:val="00141192"/>
    <w:rsid w:val="001426B6"/>
    <w:rsid w:val="001519FF"/>
    <w:rsid w:val="00152B49"/>
    <w:rsid w:val="00153905"/>
    <w:rsid w:val="00163803"/>
    <w:rsid w:val="00166678"/>
    <w:rsid w:val="00172A27"/>
    <w:rsid w:val="00183C6C"/>
    <w:rsid w:val="00186227"/>
    <w:rsid w:val="001905DD"/>
    <w:rsid w:val="001939B2"/>
    <w:rsid w:val="001A012B"/>
    <w:rsid w:val="001A14A1"/>
    <w:rsid w:val="001A3401"/>
    <w:rsid w:val="001A39F0"/>
    <w:rsid w:val="001A57A5"/>
    <w:rsid w:val="001A77D4"/>
    <w:rsid w:val="001B1C9A"/>
    <w:rsid w:val="001B440A"/>
    <w:rsid w:val="001B5401"/>
    <w:rsid w:val="001B6643"/>
    <w:rsid w:val="001B6CE8"/>
    <w:rsid w:val="001D3D95"/>
    <w:rsid w:val="001D6153"/>
    <w:rsid w:val="001E2538"/>
    <w:rsid w:val="001E3DB2"/>
    <w:rsid w:val="001E4FCF"/>
    <w:rsid w:val="001F0572"/>
    <w:rsid w:val="001F0E05"/>
    <w:rsid w:val="001F18C0"/>
    <w:rsid w:val="001F3932"/>
    <w:rsid w:val="001F65CE"/>
    <w:rsid w:val="001F6FB1"/>
    <w:rsid w:val="001F7FE6"/>
    <w:rsid w:val="00201334"/>
    <w:rsid w:val="002033F0"/>
    <w:rsid w:val="00207A1D"/>
    <w:rsid w:val="002161B5"/>
    <w:rsid w:val="00223B07"/>
    <w:rsid w:val="00225E61"/>
    <w:rsid w:val="002534B9"/>
    <w:rsid w:val="002536A8"/>
    <w:rsid w:val="00260054"/>
    <w:rsid w:val="00264413"/>
    <w:rsid w:val="00272BC7"/>
    <w:rsid w:val="002760C1"/>
    <w:rsid w:val="0029736F"/>
    <w:rsid w:val="002B1D73"/>
    <w:rsid w:val="002B2A9F"/>
    <w:rsid w:val="002B550E"/>
    <w:rsid w:val="002B62AC"/>
    <w:rsid w:val="002C082F"/>
    <w:rsid w:val="002C3B01"/>
    <w:rsid w:val="002C6318"/>
    <w:rsid w:val="002C7E3E"/>
    <w:rsid w:val="002D05FD"/>
    <w:rsid w:val="002E4875"/>
    <w:rsid w:val="002F0603"/>
    <w:rsid w:val="00300BDA"/>
    <w:rsid w:val="00303A18"/>
    <w:rsid w:val="0030405D"/>
    <w:rsid w:val="003130B3"/>
    <w:rsid w:val="00317BD4"/>
    <w:rsid w:val="00322189"/>
    <w:rsid w:val="00326F26"/>
    <w:rsid w:val="003354FA"/>
    <w:rsid w:val="00340CFA"/>
    <w:rsid w:val="00341635"/>
    <w:rsid w:val="0034523E"/>
    <w:rsid w:val="00351A97"/>
    <w:rsid w:val="00351D01"/>
    <w:rsid w:val="003602C3"/>
    <w:rsid w:val="003735D7"/>
    <w:rsid w:val="00373D84"/>
    <w:rsid w:val="00376CD2"/>
    <w:rsid w:val="00380F0D"/>
    <w:rsid w:val="00382FC6"/>
    <w:rsid w:val="003A1320"/>
    <w:rsid w:val="003A2BE8"/>
    <w:rsid w:val="003A2C96"/>
    <w:rsid w:val="003B3F1B"/>
    <w:rsid w:val="003B4DDC"/>
    <w:rsid w:val="003B5B19"/>
    <w:rsid w:val="003C1703"/>
    <w:rsid w:val="003C72B8"/>
    <w:rsid w:val="003C74FF"/>
    <w:rsid w:val="003E097D"/>
    <w:rsid w:val="003E24D0"/>
    <w:rsid w:val="003E3A49"/>
    <w:rsid w:val="004147CD"/>
    <w:rsid w:val="00415FC5"/>
    <w:rsid w:val="004162C5"/>
    <w:rsid w:val="00417EBB"/>
    <w:rsid w:val="004208C1"/>
    <w:rsid w:val="004212E1"/>
    <w:rsid w:val="004226CD"/>
    <w:rsid w:val="004252DD"/>
    <w:rsid w:val="004328A7"/>
    <w:rsid w:val="00434252"/>
    <w:rsid w:val="004360F0"/>
    <w:rsid w:val="0043643A"/>
    <w:rsid w:val="00436A24"/>
    <w:rsid w:val="004375DB"/>
    <w:rsid w:val="0045599E"/>
    <w:rsid w:val="00460174"/>
    <w:rsid w:val="00465E8E"/>
    <w:rsid w:val="004709CD"/>
    <w:rsid w:val="004804C9"/>
    <w:rsid w:val="00486731"/>
    <w:rsid w:val="004976B5"/>
    <w:rsid w:val="00497CDC"/>
    <w:rsid w:val="004A6E64"/>
    <w:rsid w:val="004A7202"/>
    <w:rsid w:val="004B12AA"/>
    <w:rsid w:val="004B15A2"/>
    <w:rsid w:val="004C3DAB"/>
    <w:rsid w:val="004C5D1B"/>
    <w:rsid w:val="004D7BF3"/>
    <w:rsid w:val="00514A2D"/>
    <w:rsid w:val="00523490"/>
    <w:rsid w:val="00523DD2"/>
    <w:rsid w:val="00535919"/>
    <w:rsid w:val="00541B25"/>
    <w:rsid w:val="00560992"/>
    <w:rsid w:val="0056307B"/>
    <w:rsid w:val="0056619A"/>
    <w:rsid w:val="005705EC"/>
    <w:rsid w:val="00586234"/>
    <w:rsid w:val="005A0E5B"/>
    <w:rsid w:val="005A271B"/>
    <w:rsid w:val="005A4E3E"/>
    <w:rsid w:val="005A7ECF"/>
    <w:rsid w:val="005B236A"/>
    <w:rsid w:val="005B3FE2"/>
    <w:rsid w:val="005B5159"/>
    <w:rsid w:val="005C3E41"/>
    <w:rsid w:val="005D5346"/>
    <w:rsid w:val="005D5C44"/>
    <w:rsid w:val="005F1720"/>
    <w:rsid w:val="005F520A"/>
    <w:rsid w:val="005F736B"/>
    <w:rsid w:val="0061060B"/>
    <w:rsid w:val="00612D90"/>
    <w:rsid w:val="00620574"/>
    <w:rsid w:val="00626855"/>
    <w:rsid w:val="00646658"/>
    <w:rsid w:val="006542E1"/>
    <w:rsid w:val="00662D06"/>
    <w:rsid w:val="00663827"/>
    <w:rsid w:val="00664DC3"/>
    <w:rsid w:val="006657F6"/>
    <w:rsid w:val="00667780"/>
    <w:rsid w:val="00671862"/>
    <w:rsid w:val="00674375"/>
    <w:rsid w:val="006761F8"/>
    <w:rsid w:val="006850AE"/>
    <w:rsid w:val="0068717D"/>
    <w:rsid w:val="006A1B5E"/>
    <w:rsid w:val="006A5014"/>
    <w:rsid w:val="006A63E0"/>
    <w:rsid w:val="006B0990"/>
    <w:rsid w:val="006B23D3"/>
    <w:rsid w:val="006B6C23"/>
    <w:rsid w:val="006C5B50"/>
    <w:rsid w:val="006D1833"/>
    <w:rsid w:val="006F407F"/>
    <w:rsid w:val="006F75C4"/>
    <w:rsid w:val="007018E8"/>
    <w:rsid w:val="00702848"/>
    <w:rsid w:val="007059B4"/>
    <w:rsid w:val="007074FC"/>
    <w:rsid w:val="00707B29"/>
    <w:rsid w:val="00712C3E"/>
    <w:rsid w:val="00714389"/>
    <w:rsid w:val="00714BAB"/>
    <w:rsid w:val="00716957"/>
    <w:rsid w:val="007333CD"/>
    <w:rsid w:val="00733AFB"/>
    <w:rsid w:val="00741E90"/>
    <w:rsid w:val="0074495C"/>
    <w:rsid w:val="00751350"/>
    <w:rsid w:val="00757C01"/>
    <w:rsid w:val="00760823"/>
    <w:rsid w:val="0077137B"/>
    <w:rsid w:val="00772ADD"/>
    <w:rsid w:val="007944BA"/>
    <w:rsid w:val="007A1499"/>
    <w:rsid w:val="007A2510"/>
    <w:rsid w:val="007A47C5"/>
    <w:rsid w:val="007B3FCC"/>
    <w:rsid w:val="007B4568"/>
    <w:rsid w:val="007B7755"/>
    <w:rsid w:val="007C3EB1"/>
    <w:rsid w:val="007D12CD"/>
    <w:rsid w:val="007D38BF"/>
    <w:rsid w:val="007E5D1A"/>
    <w:rsid w:val="007E70A4"/>
    <w:rsid w:val="007E7BF7"/>
    <w:rsid w:val="007F3B66"/>
    <w:rsid w:val="007F640E"/>
    <w:rsid w:val="007F75C9"/>
    <w:rsid w:val="008174CD"/>
    <w:rsid w:val="00846939"/>
    <w:rsid w:val="00854DEB"/>
    <w:rsid w:val="00863FFF"/>
    <w:rsid w:val="00880301"/>
    <w:rsid w:val="0088106C"/>
    <w:rsid w:val="0088749D"/>
    <w:rsid w:val="00890E1A"/>
    <w:rsid w:val="00892652"/>
    <w:rsid w:val="00896EBA"/>
    <w:rsid w:val="008A0254"/>
    <w:rsid w:val="008A15D3"/>
    <w:rsid w:val="008A7B67"/>
    <w:rsid w:val="008B0F6B"/>
    <w:rsid w:val="008B2312"/>
    <w:rsid w:val="008B4A47"/>
    <w:rsid w:val="008B6BCF"/>
    <w:rsid w:val="008B7405"/>
    <w:rsid w:val="008C16E5"/>
    <w:rsid w:val="008C3420"/>
    <w:rsid w:val="008D3D97"/>
    <w:rsid w:val="008F0ECF"/>
    <w:rsid w:val="009034BB"/>
    <w:rsid w:val="00905DFC"/>
    <w:rsid w:val="00914D67"/>
    <w:rsid w:val="00920875"/>
    <w:rsid w:val="0093131D"/>
    <w:rsid w:val="009367DB"/>
    <w:rsid w:val="00937A8D"/>
    <w:rsid w:val="00941C21"/>
    <w:rsid w:val="00944695"/>
    <w:rsid w:val="00944ADE"/>
    <w:rsid w:val="00950F12"/>
    <w:rsid w:val="00954ED0"/>
    <w:rsid w:val="00962511"/>
    <w:rsid w:val="0096467A"/>
    <w:rsid w:val="00971A18"/>
    <w:rsid w:val="009731F7"/>
    <w:rsid w:val="00974A24"/>
    <w:rsid w:val="0097506A"/>
    <w:rsid w:val="0097772B"/>
    <w:rsid w:val="00977FBE"/>
    <w:rsid w:val="00995C5B"/>
    <w:rsid w:val="009A181F"/>
    <w:rsid w:val="009A36E5"/>
    <w:rsid w:val="009A596F"/>
    <w:rsid w:val="009B2B16"/>
    <w:rsid w:val="009B2D8C"/>
    <w:rsid w:val="009C6A1E"/>
    <w:rsid w:val="009F12CA"/>
    <w:rsid w:val="009F33BD"/>
    <w:rsid w:val="009F4038"/>
    <w:rsid w:val="00A03811"/>
    <w:rsid w:val="00A05D22"/>
    <w:rsid w:val="00A11DFA"/>
    <w:rsid w:val="00A150A8"/>
    <w:rsid w:val="00A154F8"/>
    <w:rsid w:val="00A17ED8"/>
    <w:rsid w:val="00A21213"/>
    <w:rsid w:val="00A23B5B"/>
    <w:rsid w:val="00A3722E"/>
    <w:rsid w:val="00A411A7"/>
    <w:rsid w:val="00A45708"/>
    <w:rsid w:val="00A53A4C"/>
    <w:rsid w:val="00A671DE"/>
    <w:rsid w:val="00A70099"/>
    <w:rsid w:val="00A77239"/>
    <w:rsid w:val="00A77723"/>
    <w:rsid w:val="00A81BE3"/>
    <w:rsid w:val="00A8447F"/>
    <w:rsid w:val="00A86F6B"/>
    <w:rsid w:val="00A87E7A"/>
    <w:rsid w:val="00A90231"/>
    <w:rsid w:val="00A90DFB"/>
    <w:rsid w:val="00A910BA"/>
    <w:rsid w:val="00A9554B"/>
    <w:rsid w:val="00A96F2E"/>
    <w:rsid w:val="00AA2F5F"/>
    <w:rsid w:val="00AA411D"/>
    <w:rsid w:val="00AA5ABF"/>
    <w:rsid w:val="00AB0848"/>
    <w:rsid w:val="00AB179D"/>
    <w:rsid w:val="00AB3D04"/>
    <w:rsid w:val="00AB65C5"/>
    <w:rsid w:val="00AC08DA"/>
    <w:rsid w:val="00AC1D71"/>
    <w:rsid w:val="00AC1EAC"/>
    <w:rsid w:val="00AC4373"/>
    <w:rsid w:val="00AC5993"/>
    <w:rsid w:val="00AC642D"/>
    <w:rsid w:val="00AE09B6"/>
    <w:rsid w:val="00AE6DA4"/>
    <w:rsid w:val="00AE790D"/>
    <w:rsid w:val="00AF09D8"/>
    <w:rsid w:val="00AF6A9D"/>
    <w:rsid w:val="00B00067"/>
    <w:rsid w:val="00B021B4"/>
    <w:rsid w:val="00B03826"/>
    <w:rsid w:val="00B143D6"/>
    <w:rsid w:val="00B154D3"/>
    <w:rsid w:val="00B21E59"/>
    <w:rsid w:val="00B23E6B"/>
    <w:rsid w:val="00B27611"/>
    <w:rsid w:val="00B338AB"/>
    <w:rsid w:val="00B41815"/>
    <w:rsid w:val="00B46B8A"/>
    <w:rsid w:val="00B51F1F"/>
    <w:rsid w:val="00B5331F"/>
    <w:rsid w:val="00B627D3"/>
    <w:rsid w:val="00B651A6"/>
    <w:rsid w:val="00B72CED"/>
    <w:rsid w:val="00B75353"/>
    <w:rsid w:val="00B87660"/>
    <w:rsid w:val="00B94378"/>
    <w:rsid w:val="00B94423"/>
    <w:rsid w:val="00BB1048"/>
    <w:rsid w:val="00BB1B72"/>
    <w:rsid w:val="00BB3581"/>
    <w:rsid w:val="00BC1ACF"/>
    <w:rsid w:val="00BD0670"/>
    <w:rsid w:val="00BD0926"/>
    <w:rsid w:val="00BD3D5D"/>
    <w:rsid w:val="00BD5146"/>
    <w:rsid w:val="00BE46DF"/>
    <w:rsid w:val="00BE5E06"/>
    <w:rsid w:val="00BF34E1"/>
    <w:rsid w:val="00BF3DC1"/>
    <w:rsid w:val="00C00E3D"/>
    <w:rsid w:val="00C016FB"/>
    <w:rsid w:val="00C05F8B"/>
    <w:rsid w:val="00C07B9F"/>
    <w:rsid w:val="00C1278A"/>
    <w:rsid w:val="00C13B7D"/>
    <w:rsid w:val="00C21534"/>
    <w:rsid w:val="00C23C99"/>
    <w:rsid w:val="00C34E94"/>
    <w:rsid w:val="00C4077A"/>
    <w:rsid w:val="00C41A7B"/>
    <w:rsid w:val="00C42268"/>
    <w:rsid w:val="00C43AAF"/>
    <w:rsid w:val="00C44E7F"/>
    <w:rsid w:val="00C729C2"/>
    <w:rsid w:val="00C772EA"/>
    <w:rsid w:val="00C803C2"/>
    <w:rsid w:val="00C803ED"/>
    <w:rsid w:val="00C84CDE"/>
    <w:rsid w:val="00C87B07"/>
    <w:rsid w:val="00C95C13"/>
    <w:rsid w:val="00CA65E4"/>
    <w:rsid w:val="00CA7555"/>
    <w:rsid w:val="00CA7985"/>
    <w:rsid w:val="00CB2090"/>
    <w:rsid w:val="00CB467E"/>
    <w:rsid w:val="00CC1327"/>
    <w:rsid w:val="00CD1660"/>
    <w:rsid w:val="00CD1CAF"/>
    <w:rsid w:val="00CD3E67"/>
    <w:rsid w:val="00CD501E"/>
    <w:rsid w:val="00CE07D2"/>
    <w:rsid w:val="00CE477C"/>
    <w:rsid w:val="00CE5265"/>
    <w:rsid w:val="00CE65D5"/>
    <w:rsid w:val="00CF0832"/>
    <w:rsid w:val="00CF4CEE"/>
    <w:rsid w:val="00CF7A71"/>
    <w:rsid w:val="00D00E15"/>
    <w:rsid w:val="00D171BC"/>
    <w:rsid w:val="00D3496F"/>
    <w:rsid w:val="00D36489"/>
    <w:rsid w:val="00D41E07"/>
    <w:rsid w:val="00D43DBB"/>
    <w:rsid w:val="00D56071"/>
    <w:rsid w:val="00D64B21"/>
    <w:rsid w:val="00D71511"/>
    <w:rsid w:val="00D754A0"/>
    <w:rsid w:val="00D7581A"/>
    <w:rsid w:val="00D768ED"/>
    <w:rsid w:val="00D81F44"/>
    <w:rsid w:val="00D8634F"/>
    <w:rsid w:val="00D92285"/>
    <w:rsid w:val="00D9543F"/>
    <w:rsid w:val="00D97266"/>
    <w:rsid w:val="00DA798F"/>
    <w:rsid w:val="00DB2022"/>
    <w:rsid w:val="00DC7DBA"/>
    <w:rsid w:val="00DD771B"/>
    <w:rsid w:val="00DE032F"/>
    <w:rsid w:val="00DE0F54"/>
    <w:rsid w:val="00DE45E6"/>
    <w:rsid w:val="00DE6D4B"/>
    <w:rsid w:val="00DF5C87"/>
    <w:rsid w:val="00E01632"/>
    <w:rsid w:val="00E03C77"/>
    <w:rsid w:val="00E03DC6"/>
    <w:rsid w:val="00E046DD"/>
    <w:rsid w:val="00E10A04"/>
    <w:rsid w:val="00E16C3F"/>
    <w:rsid w:val="00E34A95"/>
    <w:rsid w:val="00E36777"/>
    <w:rsid w:val="00E36EDA"/>
    <w:rsid w:val="00E46919"/>
    <w:rsid w:val="00E543AA"/>
    <w:rsid w:val="00E567C6"/>
    <w:rsid w:val="00E6578A"/>
    <w:rsid w:val="00E7011E"/>
    <w:rsid w:val="00E70EAA"/>
    <w:rsid w:val="00E736C5"/>
    <w:rsid w:val="00E90C2E"/>
    <w:rsid w:val="00E92C84"/>
    <w:rsid w:val="00E9311B"/>
    <w:rsid w:val="00EA0AF4"/>
    <w:rsid w:val="00EA5783"/>
    <w:rsid w:val="00EB5508"/>
    <w:rsid w:val="00EC4007"/>
    <w:rsid w:val="00EC4169"/>
    <w:rsid w:val="00EC5856"/>
    <w:rsid w:val="00ED656C"/>
    <w:rsid w:val="00ED6DE5"/>
    <w:rsid w:val="00ED7876"/>
    <w:rsid w:val="00ED7E34"/>
    <w:rsid w:val="00EE1B33"/>
    <w:rsid w:val="00F02914"/>
    <w:rsid w:val="00F06069"/>
    <w:rsid w:val="00F24081"/>
    <w:rsid w:val="00F357E2"/>
    <w:rsid w:val="00F3772F"/>
    <w:rsid w:val="00F412A5"/>
    <w:rsid w:val="00F467C6"/>
    <w:rsid w:val="00F473A5"/>
    <w:rsid w:val="00F52D78"/>
    <w:rsid w:val="00F56AB1"/>
    <w:rsid w:val="00F6218F"/>
    <w:rsid w:val="00F64E8A"/>
    <w:rsid w:val="00F703DB"/>
    <w:rsid w:val="00F71BBB"/>
    <w:rsid w:val="00F72EAD"/>
    <w:rsid w:val="00F76A89"/>
    <w:rsid w:val="00F9626A"/>
    <w:rsid w:val="00FA0B6B"/>
    <w:rsid w:val="00FA305F"/>
    <w:rsid w:val="00FA3B66"/>
    <w:rsid w:val="00FA3C80"/>
    <w:rsid w:val="00FC2E43"/>
    <w:rsid w:val="00FC3BC8"/>
    <w:rsid w:val="00FD5FA1"/>
    <w:rsid w:val="00FD77E4"/>
    <w:rsid w:val="00FF5E9A"/>
    <w:rsid w:val="01E05BCE"/>
    <w:rsid w:val="027125E7"/>
    <w:rsid w:val="02BB164E"/>
    <w:rsid w:val="02D021B2"/>
    <w:rsid w:val="03D147C3"/>
    <w:rsid w:val="04C82CA7"/>
    <w:rsid w:val="05D97E72"/>
    <w:rsid w:val="07732EAB"/>
    <w:rsid w:val="086F3741"/>
    <w:rsid w:val="0E807E3A"/>
    <w:rsid w:val="102004EA"/>
    <w:rsid w:val="12D14D7B"/>
    <w:rsid w:val="15FE18EC"/>
    <w:rsid w:val="16146A60"/>
    <w:rsid w:val="17011114"/>
    <w:rsid w:val="1B9060ED"/>
    <w:rsid w:val="1C901B90"/>
    <w:rsid w:val="1F325AA2"/>
    <w:rsid w:val="21182614"/>
    <w:rsid w:val="21562C7C"/>
    <w:rsid w:val="222C22A4"/>
    <w:rsid w:val="23C615E6"/>
    <w:rsid w:val="24AA6B49"/>
    <w:rsid w:val="25AC730F"/>
    <w:rsid w:val="28EA6ACC"/>
    <w:rsid w:val="2E24482E"/>
    <w:rsid w:val="2EF078F1"/>
    <w:rsid w:val="30F46739"/>
    <w:rsid w:val="314F037C"/>
    <w:rsid w:val="318467F8"/>
    <w:rsid w:val="3EC52688"/>
    <w:rsid w:val="3EC97A59"/>
    <w:rsid w:val="3F406CEB"/>
    <w:rsid w:val="41764F49"/>
    <w:rsid w:val="461E5780"/>
    <w:rsid w:val="4952115D"/>
    <w:rsid w:val="4AF86C03"/>
    <w:rsid w:val="4BDC284F"/>
    <w:rsid w:val="4E7E6E1A"/>
    <w:rsid w:val="4F236D89"/>
    <w:rsid w:val="503B1B23"/>
    <w:rsid w:val="5167385A"/>
    <w:rsid w:val="52426781"/>
    <w:rsid w:val="5345206F"/>
    <w:rsid w:val="53753B43"/>
    <w:rsid w:val="57174680"/>
    <w:rsid w:val="589B4B4E"/>
    <w:rsid w:val="5A6307B9"/>
    <w:rsid w:val="5ED02B1C"/>
    <w:rsid w:val="61B57D75"/>
    <w:rsid w:val="68132276"/>
    <w:rsid w:val="6A521800"/>
    <w:rsid w:val="6E017444"/>
    <w:rsid w:val="6EF56BFD"/>
    <w:rsid w:val="713779A1"/>
    <w:rsid w:val="724B7571"/>
    <w:rsid w:val="72E162A6"/>
    <w:rsid w:val="75DC0B17"/>
    <w:rsid w:val="797065CA"/>
    <w:rsid w:val="7E3731D5"/>
    <w:rsid w:val="7E86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8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0"/>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6"/>
    <w:autoRedefine/>
    <w:qFormat/>
    <w:uiPriority w:val="0"/>
    <w:pPr>
      <w:keepNext/>
      <w:keepLines/>
      <w:numPr>
        <w:ilvl w:val="4"/>
        <w:numId w:val="1"/>
      </w:numPr>
      <w:spacing w:before="280" w:after="290" w:line="372" w:lineRule="auto"/>
      <w:outlineLvl w:val="4"/>
    </w:pPr>
    <w:rPr>
      <w:b/>
      <w:sz w:val="28"/>
    </w:rPr>
  </w:style>
  <w:style w:type="paragraph" w:styleId="9">
    <w:name w:val="heading 6"/>
    <w:basedOn w:val="1"/>
    <w:next w:val="6"/>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6"/>
    <w:autoRedefine/>
    <w:qFormat/>
    <w:uiPriority w:val="0"/>
    <w:pPr>
      <w:keepNext/>
      <w:keepLines/>
      <w:numPr>
        <w:ilvl w:val="6"/>
        <w:numId w:val="1"/>
      </w:numPr>
      <w:spacing w:before="240" w:after="64" w:line="317" w:lineRule="auto"/>
      <w:outlineLvl w:val="6"/>
    </w:pPr>
    <w:rPr>
      <w:b/>
      <w:sz w:val="24"/>
    </w:rPr>
  </w:style>
  <w:style w:type="paragraph" w:styleId="11">
    <w:name w:val="heading 8"/>
    <w:basedOn w:val="1"/>
    <w:next w:val="6"/>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6"/>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6">
    <w:name w:val="Normal Indent"/>
    <w:basedOn w:val="1"/>
    <w:autoRedefine/>
    <w:qFormat/>
    <w:uiPriority w:val="0"/>
    <w:pPr>
      <w:ind w:firstLine="420" w:firstLineChars="200"/>
    </w:pPr>
  </w:style>
  <w:style w:type="paragraph" w:styleId="13">
    <w:name w:val="toc 7"/>
    <w:basedOn w:val="1"/>
    <w:next w:val="1"/>
    <w:autoRedefine/>
    <w:qFormat/>
    <w:uiPriority w:val="0"/>
    <w:pPr>
      <w:ind w:left="2520" w:leftChars="1200"/>
    </w:pPr>
  </w:style>
  <w:style w:type="paragraph" w:styleId="14">
    <w:name w:val="Document Map"/>
    <w:basedOn w:val="1"/>
    <w:autoRedefine/>
    <w:qFormat/>
    <w:uiPriority w:val="0"/>
    <w:pPr>
      <w:shd w:val="clear" w:color="auto" w:fill="000080"/>
    </w:pPr>
  </w:style>
  <w:style w:type="paragraph" w:styleId="15">
    <w:name w:val="annotation text"/>
    <w:basedOn w:val="1"/>
    <w:link w:val="47"/>
    <w:autoRedefine/>
    <w:qFormat/>
    <w:uiPriority w:val="0"/>
    <w:pPr>
      <w:jc w:val="left"/>
    </w:pPr>
    <w:rPr>
      <w:kern w:val="2"/>
      <w:sz w:val="21"/>
      <w:szCs w:val="24"/>
    </w:rPr>
  </w:style>
  <w:style w:type="paragraph" w:styleId="16">
    <w:name w:val="Body Text 3"/>
    <w:basedOn w:val="1"/>
    <w:autoRedefine/>
    <w:qFormat/>
    <w:uiPriority w:val="0"/>
    <w:pPr>
      <w:spacing w:line="500" w:lineRule="exact"/>
    </w:pPr>
    <w:rPr>
      <w:b/>
      <w:bCs/>
      <w:sz w:val="24"/>
    </w:rPr>
  </w:style>
  <w:style w:type="paragraph" w:styleId="17">
    <w:name w:val="Body Text"/>
    <w:basedOn w:val="1"/>
    <w:autoRedefine/>
    <w:qFormat/>
    <w:uiPriority w:val="0"/>
    <w:pPr>
      <w:spacing w:after="120"/>
    </w:pPr>
  </w:style>
  <w:style w:type="paragraph" w:styleId="18">
    <w:name w:val="Body Text Indent"/>
    <w:basedOn w:val="1"/>
    <w:autoRedefine/>
    <w:qFormat/>
    <w:uiPriority w:val="0"/>
    <w:pPr>
      <w:ind w:firstLine="630"/>
    </w:pPr>
    <w:rPr>
      <w:sz w:val="32"/>
    </w:rPr>
  </w:style>
  <w:style w:type="paragraph" w:styleId="19">
    <w:name w:val="Block Text"/>
    <w:basedOn w:val="1"/>
    <w:autoRedefine/>
    <w:qFormat/>
    <w:uiPriority w:val="0"/>
    <w:pPr>
      <w:spacing w:line="400" w:lineRule="exact"/>
      <w:ind w:left="-359" w:leftChars="-171" w:right="-687" w:rightChars="-327" w:firstLine="720"/>
    </w:pPr>
    <w:rPr>
      <w:rFonts w:hAnsi="宋体"/>
      <w:sz w:val="28"/>
    </w:rPr>
  </w:style>
  <w:style w:type="paragraph" w:styleId="20">
    <w:name w:val="Plain Text"/>
    <w:basedOn w:val="1"/>
    <w:autoRedefine/>
    <w:qFormat/>
    <w:uiPriority w:val="0"/>
    <w:rPr>
      <w:rFonts w:hAnsi="Courier New" w:cs="Courier New"/>
      <w:szCs w:val="21"/>
    </w:rPr>
  </w:style>
  <w:style w:type="paragraph" w:styleId="21">
    <w:name w:val="Date"/>
    <w:basedOn w:val="1"/>
    <w:next w:val="1"/>
    <w:autoRedefine/>
    <w:qFormat/>
    <w:uiPriority w:val="0"/>
    <w:rPr>
      <w:rFonts w:eastAsia="黑体"/>
      <w:sz w:val="36"/>
    </w:rPr>
  </w:style>
  <w:style w:type="paragraph" w:styleId="22">
    <w:name w:val="Body Text Indent 2"/>
    <w:basedOn w:val="1"/>
    <w:autoRedefine/>
    <w:qFormat/>
    <w:uiPriority w:val="0"/>
    <w:pPr>
      <w:ind w:firstLine="630"/>
    </w:pPr>
    <w:rPr>
      <w:sz w:val="32"/>
    </w:rPr>
  </w:style>
  <w:style w:type="paragraph" w:styleId="23">
    <w:name w:val="Balloon Text"/>
    <w:basedOn w:val="1"/>
    <w:link w:val="51"/>
    <w:autoRedefine/>
    <w:qFormat/>
    <w:uiPriority w:val="0"/>
    <w:rPr>
      <w:kern w:val="2"/>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qFormat/>
    <w:uiPriority w:val="0"/>
  </w:style>
  <w:style w:type="paragraph" w:styleId="26">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0"/>
    <w:pPr>
      <w:widowControl/>
      <w:spacing w:before="100" w:beforeAutospacing="1" w:after="100" w:afterAutospacing="1"/>
      <w:jc w:val="left"/>
    </w:pPr>
    <w:rPr>
      <w:rFonts w:hAnsi="宋体"/>
      <w:sz w:val="18"/>
      <w:szCs w:val="18"/>
    </w:rPr>
  </w:style>
  <w:style w:type="paragraph" w:styleId="29">
    <w:name w:val="Title"/>
    <w:basedOn w:val="1"/>
    <w:next w:val="1"/>
    <w:link w:val="53"/>
    <w:autoRedefine/>
    <w:qFormat/>
    <w:uiPriority w:val="99"/>
    <w:pPr>
      <w:spacing w:before="240" w:after="60"/>
      <w:jc w:val="center"/>
      <w:outlineLvl w:val="0"/>
    </w:pPr>
    <w:rPr>
      <w:rFonts w:ascii="Cambria" w:hAnsi="Cambria"/>
      <w:b/>
      <w:bCs/>
      <w:sz w:val="32"/>
      <w:szCs w:val="32"/>
    </w:rPr>
  </w:style>
  <w:style w:type="paragraph" w:styleId="30">
    <w:name w:val="annotation subject"/>
    <w:basedOn w:val="15"/>
    <w:next w:val="15"/>
    <w:link w:val="46"/>
    <w:autoRedefine/>
    <w:qFormat/>
    <w:uiPriority w:val="0"/>
    <w:rPr>
      <w:b/>
      <w:bCs/>
    </w:rPr>
  </w:style>
  <w:style w:type="paragraph" w:styleId="31">
    <w:name w:val="Body Text First Indent"/>
    <w:basedOn w:val="17"/>
    <w:autoRedefine/>
    <w:qFormat/>
    <w:uiPriority w:val="0"/>
    <w:pPr>
      <w:ind w:firstLine="420" w:firstLineChars="100"/>
    </w:pPr>
  </w:style>
  <w:style w:type="table" w:styleId="33">
    <w:name w:val="Table Grid"/>
    <w:basedOn w:val="32"/>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page number"/>
    <w:basedOn w:val="34"/>
    <w:autoRedefine/>
    <w:qFormat/>
    <w:uiPriority w:val="0"/>
  </w:style>
  <w:style w:type="character" w:styleId="36">
    <w:name w:val="FollowedHyperlink"/>
    <w:autoRedefine/>
    <w:qFormat/>
    <w:uiPriority w:val="0"/>
    <w:rPr>
      <w:color w:val="800080"/>
      <w:u w:val="single"/>
    </w:rPr>
  </w:style>
  <w:style w:type="character" w:styleId="37">
    <w:name w:val="Hyperlink"/>
    <w:autoRedefine/>
    <w:qFormat/>
    <w:uiPriority w:val="99"/>
    <w:rPr>
      <w:color w:val="0000FF"/>
      <w:u w:val="single"/>
    </w:rPr>
  </w:style>
  <w:style w:type="character" w:styleId="38">
    <w:name w:val="annotation reference"/>
    <w:autoRedefine/>
    <w:qFormat/>
    <w:uiPriority w:val="0"/>
    <w:rPr>
      <w:sz w:val="21"/>
    </w:rPr>
  </w:style>
  <w:style w:type="character" w:customStyle="1" w:styleId="39">
    <w:name w:val="unnamed31"/>
    <w:autoRedefine/>
    <w:qFormat/>
    <w:uiPriority w:val="0"/>
    <w:rPr>
      <w:sz w:val="22"/>
      <w:szCs w:val="22"/>
    </w:rPr>
  </w:style>
  <w:style w:type="character" w:customStyle="1" w:styleId="40">
    <w:name w:val="标题 Char1"/>
    <w:autoRedefine/>
    <w:qFormat/>
    <w:uiPriority w:val="0"/>
    <w:rPr>
      <w:rFonts w:ascii="Cambria" w:hAnsi="Cambria" w:cs="Times New Roman"/>
      <w:b/>
      <w:bCs/>
      <w:kern w:val="2"/>
      <w:sz w:val="32"/>
      <w:szCs w:val="32"/>
    </w:rPr>
  </w:style>
  <w:style w:type="character" w:customStyle="1" w:styleId="41">
    <w:name w:val="font111"/>
    <w:autoRedefine/>
    <w:qFormat/>
    <w:uiPriority w:val="0"/>
    <w:rPr>
      <w:rFonts w:hint="default" w:ascii="Eʩ" w:hAnsi="Eʩ" w:eastAsia="Eʩ" w:cs="Eʩ"/>
      <w:color w:val="000000"/>
      <w:sz w:val="21"/>
      <w:szCs w:val="21"/>
      <w:u w:val="single"/>
    </w:rPr>
  </w:style>
  <w:style w:type="character" w:customStyle="1" w:styleId="42">
    <w:name w:val="font31"/>
    <w:autoRedefine/>
    <w:qFormat/>
    <w:uiPriority w:val="0"/>
    <w:rPr>
      <w:rFonts w:hint="eastAsia" w:ascii="宋体" w:hAnsi="宋体" w:eastAsia="宋体" w:cs="宋体"/>
      <w:color w:val="000000"/>
      <w:sz w:val="21"/>
      <w:szCs w:val="21"/>
      <w:u w:val="none"/>
    </w:rPr>
  </w:style>
  <w:style w:type="character" w:customStyle="1" w:styleId="43">
    <w:name w:val="Char Char Char"/>
    <w:autoRedefine/>
    <w:qFormat/>
    <w:uiPriority w:val="0"/>
    <w:rPr>
      <w:rFonts w:eastAsia="宋体"/>
      <w:b/>
      <w:kern w:val="2"/>
      <w:sz w:val="32"/>
      <w:lang w:val="en-US" w:eastAsia="zh-CN" w:bidi="ar-SA"/>
    </w:rPr>
  </w:style>
  <w:style w:type="character" w:customStyle="1" w:styleId="44">
    <w:name w:val="font101"/>
    <w:autoRedefine/>
    <w:qFormat/>
    <w:uiPriority w:val="0"/>
    <w:rPr>
      <w:rFonts w:hint="eastAsia" w:ascii="宋体" w:hAnsi="宋体" w:eastAsia="宋体" w:cs="宋体"/>
      <w:color w:val="000000"/>
      <w:sz w:val="21"/>
      <w:szCs w:val="21"/>
      <w:u w:val="single"/>
    </w:rPr>
  </w:style>
  <w:style w:type="character" w:customStyle="1" w:styleId="45">
    <w:name w:val="textnorm_chn1"/>
    <w:autoRedefine/>
    <w:qFormat/>
    <w:uiPriority w:val="0"/>
    <w:rPr>
      <w:rFonts w:hint="default" w:ascii="Arial" w:hAnsi="Arial" w:cs="Arial"/>
      <w:color w:val="21254A"/>
      <w:sz w:val="22"/>
      <w:szCs w:val="22"/>
    </w:rPr>
  </w:style>
  <w:style w:type="character" w:customStyle="1" w:styleId="46">
    <w:name w:val="批注主题 字符"/>
    <w:link w:val="30"/>
    <w:autoRedefine/>
    <w:qFormat/>
    <w:uiPriority w:val="0"/>
    <w:rPr>
      <w:b/>
      <w:bCs/>
      <w:kern w:val="2"/>
      <w:sz w:val="21"/>
      <w:szCs w:val="24"/>
    </w:rPr>
  </w:style>
  <w:style w:type="character" w:customStyle="1" w:styleId="47">
    <w:name w:val="批注文字 字符"/>
    <w:link w:val="15"/>
    <w:autoRedefine/>
    <w:qFormat/>
    <w:uiPriority w:val="0"/>
    <w:rPr>
      <w:kern w:val="2"/>
      <w:sz w:val="21"/>
      <w:szCs w:val="24"/>
    </w:rPr>
  </w:style>
  <w:style w:type="character" w:customStyle="1" w:styleId="48">
    <w:name w:val="font91"/>
    <w:autoRedefine/>
    <w:qFormat/>
    <w:uiPriority w:val="0"/>
    <w:rPr>
      <w:rFonts w:hint="eastAsia" w:ascii="宋体" w:hAnsi="宋体" w:eastAsia="宋体" w:cs="宋体"/>
      <w:color w:val="FF0000"/>
      <w:sz w:val="21"/>
      <w:szCs w:val="21"/>
      <w:u w:val="single"/>
    </w:rPr>
  </w:style>
  <w:style w:type="character" w:customStyle="1" w:styleId="49">
    <w:name w:val="正文首行缩进两字符 Char Char"/>
    <w:autoRedefine/>
    <w:qFormat/>
    <w:uiPriority w:val="0"/>
    <w:rPr>
      <w:rFonts w:eastAsia="宋体"/>
      <w:kern w:val="2"/>
      <w:sz w:val="21"/>
      <w:szCs w:val="24"/>
      <w:lang w:val="en-US" w:eastAsia="zh-CN" w:bidi="ar-SA"/>
    </w:rPr>
  </w:style>
  <w:style w:type="character" w:customStyle="1" w:styleId="50">
    <w:name w:val="标题 2 字符"/>
    <w:link w:val="4"/>
    <w:autoRedefine/>
    <w:qFormat/>
    <w:uiPriority w:val="0"/>
    <w:rPr>
      <w:rFonts w:ascii="Arial" w:hAnsi="Arial" w:eastAsia="黑体"/>
      <w:b/>
      <w:bCs/>
      <w:kern w:val="2"/>
      <w:sz w:val="32"/>
      <w:szCs w:val="32"/>
    </w:rPr>
  </w:style>
  <w:style w:type="character" w:customStyle="1" w:styleId="51">
    <w:name w:val="批注框文本 字符"/>
    <w:link w:val="23"/>
    <w:autoRedefine/>
    <w:qFormat/>
    <w:uiPriority w:val="0"/>
    <w:rPr>
      <w:kern w:val="2"/>
      <w:sz w:val="18"/>
      <w:szCs w:val="18"/>
    </w:rPr>
  </w:style>
  <w:style w:type="character" w:customStyle="1" w:styleId="52">
    <w:name w:val="标题 3 Char Char Char"/>
    <w:autoRedefine/>
    <w:qFormat/>
    <w:uiPriority w:val="0"/>
    <w:rPr>
      <w:rFonts w:eastAsia="宋体"/>
      <w:b/>
      <w:kern w:val="2"/>
      <w:sz w:val="32"/>
      <w:lang w:val="en-US" w:eastAsia="zh-CN" w:bidi="ar-SA"/>
    </w:rPr>
  </w:style>
  <w:style w:type="character" w:customStyle="1" w:styleId="53">
    <w:name w:val="标题 字符"/>
    <w:link w:val="29"/>
    <w:autoRedefine/>
    <w:qFormat/>
    <w:uiPriority w:val="99"/>
    <w:rPr>
      <w:rFonts w:ascii="Cambria" w:hAnsi="Cambria"/>
      <w:b/>
      <w:bCs/>
      <w:sz w:val="32"/>
      <w:szCs w:val="32"/>
    </w:rPr>
  </w:style>
  <w:style w:type="paragraph" w:customStyle="1" w:styleId="54">
    <w:name w:val="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5">
    <w:name w:val="正文 New"/>
    <w:autoRedefine/>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56">
    <w:name w:val="Char Char1 Char Char Char Char"/>
    <w:basedOn w:val="1"/>
    <w:autoRedefine/>
    <w:qFormat/>
    <w:uiPriority w:val="0"/>
  </w:style>
  <w:style w:type="paragraph" w:customStyle="1" w:styleId="57">
    <w:name w:val="Char1"/>
    <w:basedOn w:val="1"/>
    <w:autoRedefine/>
    <w:qFormat/>
    <w:uiPriority w:val="0"/>
    <w:rPr>
      <w:rFonts w:ascii="仿宋_GB2312" w:eastAsia="仿宋_GB2312"/>
      <w:b/>
      <w:sz w:val="32"/>
      <w:szCs w:val="32"/>
    </w:rPr>
  </w:style>
  <w:style w:type="paragraph" w:customStyle="1" w:styleId="58">
    <w:name w:val="纯文本1"/>
    <w:basedOn w:val="1"/>
    <w:autoRedefine/>
    <w:qFormat/>
    <w:uiPriority w:val="0"/>
    <w:pPr>
      <w:adjustRightInd w:val="0"/>
      <w:textAlignment w:val="baseline"/>
    </w:pPr>
    <w:rPr>
      <w:rFonts w:hAnsi="Courier New"/>
    </w:rPr>
  </w:style>
  <w:style w:type="paragraph" w:customStyle="1" w:styleId="59">
    <w:name w:val="样式1"/>
    <w:basedOn w:val="1"/>
    <w:autoRedefine/>
    <w:qFormat/>
    <w:uiPriority w:val="0"/>
    <w:pPr>
      <w:adjustRightInd w:val="0"/>
      <w:spacing w:line="420" w:lineRule="auto"/>
      <w:jc w:val="center"/>
      <w:textAlignment w:val="baseline"/>
    </w:pPr>
    <w:rPr>
      <w:sz w:val="24"/>
    </w:rPr>
  </w:style>
  <w:style w:type="paragraph" w:styleId="60">
    <w:name w:val="List Paragraph"/>
    <w:basedOn w:val="1"/>
    <w:autoRedefine/>
    <w:qFormat/>
    <w:uiPriority w:val="99"/>
    <w:pPr>
      <w:ind w:firstLine="420" w:firstLineChars="200"/>
    </w:pPr>
  </w:style>
  <w:style w:type="paragraph" w:customStyle="1" w:styleId="61">
    <w:name w:val="Table Text"/>
    <w:basedOn w:val="1"/>
    <w:autoRedefine/>
    <w:qFormat/>
    <w:uiPriority w:val="0"/>
    <w:pPr>
      <w:widowControl/>
      <w:spacing w:before="60" w:after="60"/>
      <w:jc w:val="left"/>
    </w:pPr>
  </w:style>
  <w:style w:type="paragraph" w:customStyle="1" w:styleId="62">
    <w:name w:val="正文文本 21"/>
    <w:basedOn w:val="1"/>
    <w:autoRedefine/>
    <w:qFormat/>
    <w:uiPriority w:val="0"/>
    <w:pPr>
      <w:adjustRightInd w:val="0"/>
      <w:spacing w:line="300" w:lineRule="auto"/>
      <w:jc w:val="center"/>
      <w:textAlignment w:val="baseline"/>
    </w:pPr>
    <w:rPr>
      <w:rFonts w:hAnsi="宋体"/>
      <w:sz w:val="24"/>
    </w:rPr>
  </w:style>
  <w:style w:type="paragraph" w:customStyle="1" w:styleId="63">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Char2"/>
    <w:basedOn w:val="1"/>
    <w:autoRedefine/>
    <w:qFormat/>
    <w:uiPriority w:val="0"/>
  </w:style>
  <w:style w:type="paragraph" w:customStyle="1" w:styleId="65">
    <w:name w:val="正文首行缩进两字符"/>
    <w:basedOn w:val="1"/>
    <w:autoRedefine/>
    <w:qFormat/>
    <w:uiPriority w:val="0"/>
    <w:pPr>
      <w:spacing w:line="360" w:lineRule="auto"/>
      <w:ind w:firstLine="200" w:firstLineChars="200"/>
    </w:pPr>
  </w:style>
  <w:style w:type="paragraph" w:customStyle="1" w:styleId="66">
    <w:name w:val="Char Char Char 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67">
    <w:name w:val="样式 首行缩进:  2 字符"/>
    <w:basedOn w:val="1"/>
    <w:autoRedefine/>
    <w:qFormat/>
    <w:uiPriority w:val="0"/>
    <w:pPr>
      <w:spacing w:line="400" w:lineRule="exact"/>
      <w:ind w:firstLine="200" w:firstLineChars="200"/>
    </w:pPr>
    <w:rPr>
      <w:rFonts w:cs="宋体"/>
      <w:sz w:val="24"/>
    </w:rPr>
  </w:style>
  <w:style w:type="paragraph" w:customStyle="1" w:styleId="68">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69">
    <w:name w:val="默认段落字体 Para Char Char Char Char Char Char Char Char Char1 Char Char Char Char"/>
    <w:basedOn w:val="1"/>
    <w:autoRedefine/>
    <w:qFormat/>
    <w:uiPriority w:val="0"/>
    <w:rPr>
      <w:rFonts w:ascii="Tahoma" w:hAnsi="Tahoma"/>
      <w:sz w:val="24"/>
    </w:rPr>
  </w:style>
  <w:style w:type="paragraph" w:customStyle="1" w:styleId="70">
    <w:name w:val="plaintext"/>
    <w:basedOn w:val="1"/>
    <w:autoRedefine/>
    <w:qFormat/>
    <w:uiPriority w:val="0"/>
    <w:pPr>
      <w:widowControl/>
      <w:spacing w:before="100" w:beforeAutospacing="1" w:after="100" w:afterAutospacing="1"/>
      <w:jc w:val="left"/>
    </w:pPr>
    <w:rPr>
      <w:rFonts w:hAnsi="宋体"/>
      <w:sz w:val="24"/>
    </w:rPr>
  </w:style>
  <w:style w:type="paragraph" w:customStyle="1" w:styleId="71">
    <w:name w:val="table head"/>
    <w:basedOn w:val="1"/>
    <w:autoRedefine/>
    <w:qFormat/>
    <w:uiPriority w:val="0"/>
    <w:pPr>
      <w:keepNext/>
      <w:keepLines/>
      <w:adjustRightInd w:val="0"/>
      <w:spacing w:line="312" w:lineRule="atLeast"/>
      <w:jc w:val="center"/>
      <w:textAlignment w:val="baseline"/>
    </w:pPr>
    <w:rPr>
      <w:b/>
    </w:rPr>
  </w:style>
  <w:style w:type="paragraph" w:customStyle="1" w:styleId="72">
    <w:name w:val="章标题"/>
    <w:next w:val="1"/>
    <w:autoRedefine/>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74">
    <w:name w:val="Char2 Char Char Char"/>
    <w:basedOn w:val="1"/>
    <w:autoRedefine/>
    <w:qFormat/>
    <w:uiPriority w:val="0"/>
    <w:rPr>
      <w:rFonts w:ascii="仿宋_GB2312" w:eastAsia="仿宋_GB2312"/>
      <w:b/>
      <w:sz w:val="32"/>
      <w:szCs w:val="32"/>
    </w:rPr>
  </w:style>
  <w:style w:type="paragraph" w:customStyle="1" w:styleId="7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
    <w:name w:val="表格"/>
    <w:basedOn w:val="1"/>
    <w:autoRedefine/>
    <w:qFormat/>
    <w:uiPriority w:val="0"/>
    <w:pPr>
      <w:spacing w:line="400" w:lineRule="exact"/>
    </w:pPr>
    <w:rPr>
      <w:sz w:val="24"/>
    </w:rPr>
  </w:style>
  <w:style w:type="paragraph" w:customStyle="1" w:styleId="7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8">
    <w:name w:val="Char Char Char Char Char Char1 Char"/>
    <w:basedOn w:val="14"/>
    <w:autoRedefine/>
    <w:qFormat/>
    <w:uiPriority w:val="0"/>
    <w:rPr>
      <w:rFonts w:ascii="Tahoma" w:hAnsi="Tahoma"/>
      <w:sz w:val="24"/>
      <w:szCs w:val="24"/>
    </w:rPr>
  </w:style>
  <w:style w:type="paragraph" w:customStyle="1" w:styleId="79">
    <w:name w:val="Char11"/>
    <w:basedOn w:val="1"/>
    <w:autoRedefine/>
    <w:qFormat/>
    <w:uiPriority w:val="0"/>
    <w:rPr>
      <w:szCs w:val="21"/>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2">
    <w:name w:val="正文缩进1"/>
    <w:basedOn w:val="1"/>
    <w:next w:val="1"/>
    <w:autoRedefine/>
    <w:qFormat/>
    <w:uiPriority w:val="0"/>
    <w:pPr>
      <w:widowControl/>
      <w:ind w:firstLine="420"/>
    </w:pPr>
    <w:rPr>
      <w:color w:val="000000"/>
    </w:rPr>
  </w:style>
  <w:style w:type="paragraph" w:customStyle="1" w:styleId="83">
    <w:name w:val="Char Char Char Char Char Char"/>
    <w:basedOn w:val="1"/>
    <w:autoRedefine/>
    <w:qFormat/>
    <w:uiPriority w:val="0"/>
    <w:rPr>
      <w:rFonts w:ascii="Tahoma" w:hAnsi="Tahoma"/>
      <w:sz w:val="24"/>
    </w:rPr>
  </w:style>
  <w:style w:type="paragraph" w:customStyle="1" w:styleId="84">
    <w:name w:val="Revision"/>
    <w:autoRedefine/>
    <w:hidden/>
    <w:semiHidden/>
    <w:qFormat/>
    <w:uiPriority w:val="99"/>
    <w:rPr>
      <w:rFonts w:ascii="宋体" w:hAnsi="Times New Roman" w:eastAsia="宋体" w:cs="Times New Roman"/>
      <w:sz w:val="34"/>
      <w:lang w:val="en-US" w:eastAsia="zh-CN" w:bidi="ar-SA"/>
    </w:rPr>
  </w:style>
  <w:style w:type="character" w:customStyle="1" w:styleId="85">
    <w:name w:val="标题 1 字符"/>
    <w:link w:val="3"/>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43</Pages>
  <Words>20862</Words>
  <Characters>21583</Characters>
  <Lines>159</Lines>
  <Paragraphs>45</Paragraphs>
  <TotalTime>7</TotalTime>
  <ScaleCrop>false</ScaleCrop>
  <LinksUpToDate>false</LinksUpToDate>
  <CharactersWithSpaces>22614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2023-01-31T07:24:00Z</dcterms:created>
  <dc:creator>USER</dc:creator>
  <cp:lastModifiedBy>黄二哥</cp:lastModifiedBy>
  <cp:lastPrinted>2012-08-20T02:39:00Z</cp:lastPrinted>
  <dcterms:modified xsi:type="dcterms:W3CDTF">2024-04-03T01:15:04Z</dcterms:modified>
  <dc:title>省财政厅关于印发四川省政府采购通用货物和服务招标文件范本的通知</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E6EB0C685B224F49AB2BE842D71F98B8</vt:lpwstr>
  </property>
</Properties>
</file>